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考纲覆盖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Fe(SCN)</w:t>
            </w:r>
            <m:oMath>
              <m:sSubSup>
                <m:e>
                  <m:r>
                    <m:t>​</m:t>
                  </m:r>
                </m:e>
                <m:sub>
                  <m:r>
                    <m:t>n</m:t>
                  </m:r>
                </m:sub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配制系列标准溶液</w:t>
      </w:r>
      <w:r>
        <w:rPr>
          <w:rStyle w:val="VerbatimChar"/>
          <w:rFonts w:hint="eastAsia" w:ascii="Times New Roman" w:hAnsi="Times New Roman" w:eastAsia="Times New Roman" w:cs="Times New Roman"/>
        </w:rPr>
        <w:t>（4~6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个不同浓度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λ_max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处测定各标准溶液的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以</w:t>
      </w:r>
      <w:r>
        <w:rPr>
          <w:rStyle w:val="VerbatimChar"/>
          <w:rFonts w:ascii="Times New Roman" w:hAnsi="Times New Roman" w:eastAsia="Times New Roman" w:cs="Times New Roman"/>
        </w:rPr>
        <w:t xml:space="preserve"> A </w:t>
      </w:r>
      <w:r>
        <w:rPr>
          <w:rStyle w:val="VerbatimChar"/>
          <w:rFonts w:hint="eastAsia" w:ascii="Times New Roman" w:hAnsi="Times New Roman" w:eastAsia="FangSong" w:cs="Times New Roman"/>
        </w:rPr>
        <w:t>为纵坐标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为横坐标作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标准曲线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测定未知样品的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Style w:val="VerbatimChar"/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配标准系列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</w:t>
      </w:r>
      <w:r>
        <w:rPr>
          <w:rStyle w:val="VerbatimChar"/>
          <w:rFonts w:ascii="Times New Roman" w:hAnsi="Times New Roman" w:eastAsia="Times New Roman" w:cs="Times New Roman"/>
        </w:rPr>
        <w:t xml:space="preserve"> λ_max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曲线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测样品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查浓度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(4-6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灵敏度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(0.2-0.8)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线性范围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相同显色条件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numPr>
          <w:ilvl w:val="0"/>
          <w:numId w:val="1006"/>
        </w:numPr>
      </w:pP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2026-08-31T09:31:07Z</dcterms:created>
  <dcterms:modified xsi:type="dcterms:W3CDTF">2026-08-31T09:31:07Z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