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这就是为什么破坏化学键需要高温或强反应条件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第二周期元素要特别敏感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结构里看到的东西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判出来立刻顺手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立刻顺手判断极性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顺手动作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理论非常经典的综合例子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结构判出来后顺手看极性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结构刚判出来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就顺手看极性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立刻顺手判断极性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不建议一上来就做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X</m:t>
            </m:r>
          </m:e>
          <m:sub>
            <m:r>
              <m:t>n</m:t>
            </m:r>
          </m:sub>
        </m:sSub>
      </m:oMath>
      <m:oMath>
        <m:sSub>
          <m:e>
            <m:r>
              <m:t>E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3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8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hyperlink r:id="rId147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t>E</m:t>
            </m:r>
          </m:e>
          <m:sub>
            <m: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8"/>
    <w:bookmarkStart w:id="149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9"/>
    <w:bookmarkStart w:id="151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hyperlink r:id="rId150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bookmarkStart w:id="154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4"/>
    <w:bookmarkEnd w:id="1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2026-08-31T09:31:12Z</dcterms:created>
  <dcterms:modified xsi:type="dcterms:W3CDTF">2026-08-31T09:31:12Z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