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二分册专项卷iv"/>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IV</w:t>
      </w:r>
    </w:p>
    <w:bookmarkStart w:id="9" w:name="化学原理5-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Ba、Ca、Mg、SiO</w:t>
      </w:r>
      <w:r>
        <w:rPr>
          <w:rFonts w:ascii="Times New Roman" w:hAnsi="Times New Roman" w:eastAsia="Times New Roman" w:cs="Times New Roman"/>
          <w:vertAlign w:val="subscript"/>
        </w:rPr>
        <w:t>2</w:t>
      </w:r>
      <w:r>
        <w:rPr>
          <w:rFonts w:ascii="Times New Roman" w:hAnsi="Times New Roman" w:eastAsia="Times New Roman" w:cs="Times New Roman"/>
        </w:rPr>
        <w:t>、</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SrCl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计算下列溶液的</w:t>
      </w:r>
      <w:r>
        <w:rPr>
          <w:rFonts w:ascii="Times New Roman" w:hAnsi="Times New Roman" w:eastAsia="Times New Roman" w:cs="Times New Roman"/>
        </w:rPr>
        <w:t xml:space="preserve"> pH。</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02"/>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bookmarkEnd w:id="12"/>
    <w:bookmarkStart w:id="25"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试设计以</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合成以下三种异构体的实验方法</w:t>
      </w:r>
      <w:r>
        <w:rPr>
          <w:rFonts w:hint="eastAsia" w:ascii="Times New Roman" w:hAnsi="Times New Roman" w:eastAsia="Times New Roman" w:cs="Times New Roman"/>
        </w:rPr>
        <w:t>：</w:t>
      </w:r>
    </w:p>
    <w:p>
      <w:pPr>
        <w:numPr>
          <w:ilvl w:val="0"/>
          <w:numId w:val="1003"/>
        </w:numPr>
        <w:spacing w:before="160" w:after="80"/>
        <w:jc w:val="center"/>
      </w:pPr>
      <w:r>
        <w:rPr>
          <w:rFonts w:ascii="Times New Roman" w:hAnsi="Times New Roman" w:eastAsia="Times New Roman" w:cs="Times New Roman"/>
        </w:rPr>
        <w:drawing>
          <wp:inline>
            <wp:extent cx="2971800" cy="2476500"/>
            <wp:effectExtent b="0" l="0" r="0" t="0"/>
            <wp:docPr descr="" title="" id="14" name="Picture"/>
            <a:graphic>
              <a:graphicData uri="http://schemas.openxmlformats.org/drawingml/2006/picture">
                <pic:pic>
                  <pic:nvPicPr>
                    <pic:cNvPr descr="57904d1ca5fdde0cacf86480991cf341e788f627dd2b098dcfc3025edb01a34a.jpg" id="15" name="Picture"/>
                    <pic:cNvPicPr>
                      <a:picLocks noChangeArrowheads="1" noChangeAspect="1"/>
                    </pic:cNvPicPr>
                  </pic:nvPicPr>
                  <pic:blipFill>
                    <a:blip r:embed="rId13"/>
                    <a:stretch>
                      <a:fillRect/>
                    </a:stretch>
                  </pic:blipFill>
                  <pic:spPr bwMode="auto">
                    <a:xfrm>
                      <a:off x="0" y="0"/>
                      <a:ext cx="2971800" cy="2476500"/>
                    </a:xfrm>
                    <a:prstGeom prst="rect">
                      <a:avLst/>
                    </a:prstGeom>
                    <a:noFill/>
                    <a:ln w="9525">
                      <a:noFill/>
                      <a:headEnd/>
                      <a:tailEnd/>
                    </a:ln>
                  </pic:spPr>
                </pic:pic>
              </a:graphicData>
            </a:graphic>
          </wp:inline>
        </w:drawing>
      </w:r>
    </w:p>
    <w:p>
      <w:pPr>
        <w:numPr>
          <w:ilvl w:val="0"/>
          <w:numId w:val="1003"/>
        </w:numPr>
        <w:spacing w:before="160" w:after="80"/>
        <w:jc w:val="center"/>
      </w:pPr>
      <w:r>
        <w:rPr>
          <w:rFonts w:ascii="Times New Roman" w:hAnsi="Times New Roman" w:eastAsia="Times New Roman" w:cs="Times New Roman"/>
        </w:rPr>
        <w:drawing>
          <wp:inline>
            <wp:extent cx="3086100" cy="2489200"/>
            <wp:effectExtent b="0" l="0" r="0" t="0"/>
            <wp:docPr descr="" title="" id="17" name="Picture"/>
            <a:graphic>
              <a:graphicData uri="http://schemas.openxmlformats.org/drawingml/2006/picture">
                <pic:pic>
                  <pic:nvPicPr>
                    <pic:cNvPr descr="04358362cdd24d00fa7e63c92521d97cc0ab7b31093304171b5a0418f3038fef.jpg" id="18" name="Picture"/>
                    <pic:cNvPicPr>
                      <a:picLocks noChangeArrowheads="1" noChangeAspect="1"/>
                    </pic:cNvPicPr>
                  </pic:nvPicPr>
                  <pic:blipFill>
                    <a:blip r:embed="rId16"/>
                    <a:stretch>
                      <a:fillRect/>
                    </a:stretch>
                  </pic:blipFill>
                  <pic:spPr bwMode="auto">
                    <a:xfrm>
                      <a:off x="0" y="0"/>
                      <a:ext cx="3086100" cy="2489200"/>
                    </a:xfrm>
                    <a:prstGeom prst="rect">
                      <a:avLst/>
                    </a:prstGeom>
                    <a:noFill/>
                    <a:ln w="9525">
                      <a:noFill/>
                      <a:headEnd/>
                      <a:tailEnd/>
                    </a:ln>
                  </pic:spPr>
                </pic:pic>
              </a:graphicData>
            </a:graphic>
          </wp:inline>
        </w:drawing>
      </w:r>
    </w:p>
    <w:p>
      <w:pPr>
        <w:numPr>
          <w:ilvl w:val="0"/>
          <w:numId w:val="1003"/>
        </w:numPr>
        <w:spacing w:before="160" w:after="80"/>
        <w:jc w:val="center"/>
      </w:pPr>
      <w:r>
        <w:rPr>
          <w:rFonts w:ascii="Times New Roman" w:hAnsi="Times New Roman" w:eastAsia="Times New Roman" w:cs="Times New Roman"/>
        </w:rPr>
        <w:drawing>
          <wp:inline>
            <wp:extent cx="2971800" cy="2514600"/>
            <wp:effectExtent b="0" l="0" r="0" t="0"/>
            <wp:docPr descr="" title="" id="20" name="Picture"/>
            <a:graphic>
              <a:graphicData uri="http://schemas.openxmlformats.org/drawingml/2006/picture">
                <pic:pic>
                  <pic:nvPicPr>
                    <pic:cNvPr descr="68392ef976a52b1f4ef7362dff81618e505c9a4ed0b3e875f7fc859882a3b125.jpg" id="21" name="Picture"/>
                    <pic:cNvPicPr>
                      <a:picLocks noChangeArrowheads="1" noChangeAspect="1"/>
                    </pic:cNvPicPr>
                  </pic:nvPicPr>
                  <pic:blipFill>
                    <a:blip r:embed="rId19"/>
                    <a:stretch>
                      <a:fillRect/>
                    </a:stretch>
                  </pic:blipFill>
                  <pic:spPr bwMode="auto">
                    <a:xfrm>
                      <a:off x="0" y="0"/>
                      <a:ext cx="2971800" cy="25146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已知反位效应</w:t>
      </w:r>
      <w:r>
        <w:rPr>
          <w:rFonts w:hint="eastAsia" w:ascii="Times New Roman" w:hAnsi="Times New Roman" w:eastAsia="Times New Roman" w:cs="Times New Roman"/>
        </w:rPr>
        <w:t>：</w:t>
      </w:r>
      <m:oMath>
        <m:oMathPr>
          <m:ctrlPr>
            <w:rPr>
              <w:sz w:val="28"/>
              <w:szCs w:val="28"/>
            </w:rPr>
          </m:ctrlPr>
        </m:oMathPr>
        <m:r>
          <m:t>B</m:t>
        </m:r>
        <m:sSup>
          <m:e>
            <m:r>
              <m:t>r</m:t>
            </m:r>
          </m:e>
          <m:sup>
            <m:r>
              <m:rPr>
                <m:sty m:val="p"/>
              </m:rPr>
              <m:t>−</m:t>
            </m:r>
          </m:sup>
        </m:sSup>
        <m:r>
          <m:rPr>
            <m:sty m:val="p"/>
          </m:rPr>
          <m:t>&gt;</m:t>
        </m:r>
        <m:r>
          <m:t>C</m:t>
        </m:r>
        <m:sSup>
          <m:e>
            <m:r>
              <m:t>l</m:t>
            </m:r>
          </m:e>
          <m:sup>
            <m:r>
              <m:rPr>
                <m:sty m:val="p"/>
              </m:rPr>
              <m:t>−</m:t>
            </m:r>
          </m:sup>
        </m:sSup>
        <m:r>
          <m:rPr>
            <m:sty m:val="p"/>
          </m:rPr>
          <m:t>&gt;</m:t>
        </m:r>
        <m:r>
          <m:t>N</m:t>
        </m:r>
        <m:sSub>
          <m:e>
            <m:r>
              <m:t>H</m:t>
            </m:r>
          </m:e>
          <m:sub>
            <m:r>
              <m:t>3</m:t>
            </m:r>
          </m:sub>
        </m:sSub>
        <m:r>
          <m:rPr>
            <m:sty m:val="p"/>
          </m:rPr>
          <m:t>&gt;</m:t>
        </m:r>
        <m:r>
          <m:t>P</m:t>
        </m:r>
        <m:r>
          <m:t>y</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83892"/>
            <wp:effectExtent b="0" l="0" r="0" t="0"/>
            <wp:docPr descr="" title="" id="23" name="Picture"/>
            <a:graphic>
              <a:graphicData uri="http://schemas.openxmlformats.org/drawingml/2006/picture">
                <pic:pic>
                  <pic:nvPicPr>
                    <pic:cNvPr descr="6eeb381dd08f635e5b38ce590b185fab24f7f3a2d8a489a8098cf0bbb327b648.jpg" id="24" name="Picture"/>
                    <pic:cNvPicPr>
                      <a:picLocks noChangeArrowheads="1" noChangeAspect="1"/>
                    </pic:cNvPicPr>
                  </pic:nvPicPr>
                  <pic:blipFill>
                    <a:blip r:embed="rId22"/>
                    <a:stretch>
                      <a:fillRect/>
                    </a:stretch>
                  </pic:blipFill>
                  <pic:spPr bwMode="auto">
                    <a:xfrm>
                      <a:off x="0" y="0"/>
                      <a:ext cx="3600000" cy="1183892"/>
                    </a:xfrm>
                    <a:prstGeom prst="rect">
                      <a:avLst/>
                    </a:prstGeom>
                    <a:noFill/>
                    <a:ln w="9525">
                      <a:noFill/>
                      <a:headEnd/>
                      <a:tailEnd/>
                    </a:ln>
                  </pic:spPr>
                </pic:pic>
              </a:graphicData>
            </a:graphic>
          </wp:inline>
        </w:drawing>
      </w:r>
    </w:p>
    <w:bookmarkEnd w:id="25"/>
    <w:bookmarkStart w:id="26"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12 1951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Pauson </w:t>
      </w:r>
      <w:r>
        <w:rPr>
          <w:rFonts w:hint="eastAsia" w:ascii="Times New Roman" w:hAnsi="Times New Roman" w:eastAsia="FangSong" w:cs="Times New Roman"/>
        </w:rPr>
        <w:t>等人制备并分离得到环戊二烯与铁形成的化合物即二茂铁</w:t>
      </w:r>
      <w:r>
        <w:rPr>
          <w:rFonts w:hint="eastAsia" w:ascii="Times New Roman" w:hAnsi="Times New Roman" w:eastAsia="Times New Roman" w:cs="Times New Roman"/>
        </w:rPr>
        <w:t>。</w:t>
      </w:r>
      <w:r>
        <w:rPr>
          <w:rFonts w:hint="eastAsia" w:ascii="Times New Roman" w:hAnsi="Times New Roman" w:eastAsia="FangSong" w:cs="Times New Roman"/>
        </w:rPr>
        <w:t>人们发现许多具有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电子的分子也可以作为配体形成配合物</w:t>
      </w:r>
      <w:r>
        <w:rPr>
          <w:rFonts w:hint="eastAsia" w:ascii="Times New Roman" w:hAnsi="Times New Roman" w:eastAsia="Times New Roman" w:cs="Times New Roman"/>
        </w:rPr>
        <w:t>。</w:t>
      </w:r>
      <w:r>
        <w:rPr>
          <w:rFonts w:hint="eastAsia" w:ascii="Times New Roman" w:hAnsi="Times New Roman" w:eastAsia="FangSong" w:cs="Times New Roman"/>
        </w:rPr>
        <w:t>现有这样的一种配合物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测得含碳</w:t>
      </w:r>
      <w:r>
        <w:rPr>
          <w:rFonts w:ascii="Times New Roman" w:hAnsi="Times New Roman" w:eastAsia="Times New Roman" w:cs="Times New Roman"/>
        </w:rPr>
        <w:t xml:space="preserve"> </w:t>
      </w:r>
      <w:r>
        <w:rPr>
          <w:rFonts w:hint="eastAsia" w:ascii="Times New Roman" w:hAnsi="Times New Roman" w:eastAsia="Times New Roman" w:cs="Times New Roman"/>
        </w:rPr>
        <w:t>80.05%、</w:t>
      </w:r>
      <w:r>
        <w:rPr>
          <w:rFonts w:hint="eastAsia" w:ascii="Times New Roman" w:hAnsi="Times New Roman" w:eastAsia="FangSong" w:cs="Times New Roman"/>
        </w:rPr>
        <w:t>铂</w:t>
      </w:r>
      <w:r>
        <w:rPr>
          <w:rFonts w:ascii="Times New Roman" w:hAnsi="Times New Roman" w:eastAsia="Times New Roman" w:cs="Times New Roman"/>
        </w:rPr>
        <w:t xml:space="preserve"> </w:t>
      </w:r>
      <w:r>
        <w:rPr>
          <w:rFonts w:hint="eastAsia" w:ascii="Times New Roman" w:hAnsi="Times New Roman" w:eastAsia="Times New Roman" w:cs="Times New Roman"/>
        </w:rPr>
        <w:t>13.55%、</w:t>
      </w:r>
      <w:r>
        <w:rPr>
          <w:rFonts w:hint="eastAsia" w:ascii="Times New Roman" w:hAnsi="Times New Roman" w:eastAsia="FangSong" w:cs="Times New Roman"/>
        </w:rPr>
        <w:t>磷</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氢</w:t>
      </w:r>
      <w:r>
        <w:rPr>
          <w:rFonts w:ascii="Times New Roman" w:hAnsi="Times New Roman" w:eastAsia="Times New Roman" w:cs="Times New Roman"/>
        </w:rPr>
        <w:t xml:space="preserve"> 2.10%。A </w:t>
      </w:r>
      <w:r>
        <w:rPr>
          <w:rFonts w:hint="eastAsia" w:ascii="Times New Roman" w:hAnsi="Times New Roman" w:eastAsia="FangSong" w:cs="Times New Roman"/>
        </w:rPr>
        <w:t>的一个配体具有很大的立体结构</w:t>
      </w:r>
      <w:r>
        <w:rPr>
          <w:rFonts w:hint="eastAsia" w:ascii="Times New Roman" w:hAnsi="Times New Roman" w:eastAsia="Times New Roman" w:cs="Times New Roman"/>
        </w:rPr>
        <w:t>，</w:t>
      </w:r>
      <w:r>
        <w:rPr>
          <w:rFonts w:hint="eastAsia" w:ascii="Times New Roman" w:hAnsi="Times New Roman" w:eastAsia="FangSong" w:cs="Times New Roman"/>
        </w:rPr>
        <w:t>且有很好的对称性</w:t>
      </w:r>
      <w:r>
        <w:rPr>
          <w:rFonts w:hint="eastAsia" w:ascii="Times New Roman" w:hAnsi="Times New Roman" w:eastAsia="Times New Roman" w:cs="Times New Roman"/>
        </w:rPr>
        <w:t>；</w:t>
      </w:r>
      <w:r>
        <w:rPr>
          <w:rFonts w:hint="eastAsia" w:ascii="Times New Roman" w:hAnsi="Times New Roman" w:eastAsia="FangSong" w:cs="Times New Roman"/>
        </w:rPr>
        <w:t>另一个配体中磷和氢原子个数比为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1:15。</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计算得出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的可能结构简式</w:t>
      </w:r>
      <w:r>
        <w:rPr>
          <w:rFonts w:hint="eastAsia" w:ascii="Times New Roman" w:hAnsi="Times New Roman" w:eastAsia="Times New Roman" w:cs="Times New Roman"/>
        </w:rPr>
        <w:t>（</w:t>
      </w:r>
      <w:r>
        <w:rPr>
          <w:rFonts w:hint="eastAsia" w:ascii="Times New Roman" w:hAnsi="Times New Roman" w:eastAsia="FangSong" w:cs="Times New Roman"/>
        </w:rPr>
        <w:t>具有很大立体结构的配体可用其分子式表示</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预计</w:t>
      </w:r>
      <w:r>
        <w:rPr>
          <w:rFonts w:ascii="Times New Roman" w:hAnsi="Times New Roman" w:eastAsia="Times New Roman" w:cs="Times New Roman"/>
        </w:rPr>
        <w:t xml:space="preserve"> A </w:t>
      </w:r>
      <w:r>
        <w:rPr>
          <w:rFonts w:hint="eastAsia" w:ascii="Times New Roman" w:hAnsi="Times New Roman" w:eastAsia="FangSong" w:cs="Times New Roman"/>
        </w:rPr>
        <w:t>最特征的化学性质</w:t>
      </w:r>
      <w:r>
        <w:rPr>
          <w:rFonts w:hint="eastAsia" w:ascii="Times New Roman" w:hAnsi="Times New Roman" w:eastAsia="Times New Roman" w:cs="Times New Roman"/>
        </w:rPr>
        <w:t>。</w:t>
      </w:r>
    </w:p>
    <w:bookmarkEnd w:id="26"/>
    <w:bookmarkStart w:id="27" w:name="有机化学15-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7"/>
    <w:bookmarkStart w:id="2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新兴的大脑营养学研究发现</w:t>
      </w:r>
      <w:r>
        <w:rPr>
          <w:rFonts w:hint="eastAsia" w:ascii="Times New Roman" w:hAnsi="Times New Roman" w:eastAsia="Times New Roman" w:cs="Times New Roman"/>
        </w:rPr>
        <w:t>，</w:t>
      </w:r>
      <w:r>
        <w:rPr>
          <w:rFonts w:hint="eastAsia" w:ascii="Times New Roman" w:hAnsi="Times New Roman" w:eastAsia="FangSong" w:cs="Times New Roman"/>
        </w:rPr>
        <w:t>大脑的生长发育与不饱和脂肪酸有密切关系</w:t>
      </w:r>
      <w:r>
        <w:rPr>
          <w:rFonts w:hint="eastAsia" w:ascii="Times New Roman" w:hAnsi="Times New Roman" w:eastAsia="Times New Roman" w:cs="Times New Roman"/>
        </w:rPr>
        <w:t>，</w:t>
      </w:r>
      <w:r>
        <w:rPr>
          <w:rFonts w:hint="eastAsia" w:ascii="Times New Roman" w:hAnsi="Times New Roman" w:eastAsia="FangSong" w:cs="Times New Roman"/>
        </w:rPr>
        <w:t>从深海鱼油中提取的被称作</w:t>
      </w:r>
      <w:r>
        <w:rPr>
          <w:rFonts w:hint="eastAsia" w:ascii="Times New Roman" w:hAnsi="Times New Roman" w:eastAsia="Times New Roman" w:cs="Times New Roman"/>
        </w:rPr>
        <w:t>”</w:t>
      </w:r>
      <w:r>
        <w:rPr>
          <w:rFonts w:hint="eastAsia" w:ascii="Times New Roman" w:hAnsi="Times New Roman" w:eastAsia="FangSong" w:cs="Times New Roman"/>
        </w:rPr>
        <w:t>脑黄金</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DHA </w:t>
      </w:r>
      <w:r>
        <w:rPr>
          <w:rFonts w:hint="eastAsia" w:ascii="Times New Roman" w:hAnsi="Times New Roman" w:eastAsia="FangSong" w:cs="Times New Roman"/>
        </w:rPr>
        <w:t>就是一种不饱和程度很高的脂肪酸</w:t>
      </w:r>
      <w:r>
        <w:rPr>
          <w:rFonts w:hint="eastAsia" w:ascii="Times New Roman" w:hAnsi="Times New Roman" w:eastAsia="Times New Roman" w:cs="Times New Roman"/>
        </w:rPr>
        <w:t>，</w:t>
      </w:r>
      <w:r>
        <w:rPr>
          <w:rFonts w:hint="eastAsia" w:ascii="Times New Roman" w:hAnsi="Times New Roman" w:eastAsia="FangSong" w:cs="Times New Roman"/>
        </w:rPr>
        <w:t>它的分子中含有六个碳碳双键</w:t>
      </w:r>
      <w:r>
        <w:rPr>
          <w:rFonts w:hint="eastAsia" w:ascii="Times New Roman" w:hAnsi="Times New Roman" w:eastAsia="Times New Roman" w:cs="Times New Roman"/>
        </w:rPr>
        <w:t>，</w:t>
      </w:r>
      <w:r>
        <w:rPr>
          <w:rFonts w:hint="eastAsia" w:ascii="Times New Roman" w:hAnsi="Times New Roman" w:eastAsia="FangSong" w:cs="Times New Roman"/>
        </w:rPr>
        <w:t>学名二十六碳六烯酸</w:t>
      </w:r>
      <w:r>
        <w:rPr>
          <w:rFonts w:hint="eastAsia" w:ascii="Times New Roman" w:hAnsi="Times New Roman" w:eastAsia="Times New Roman" w:cs="Times New Roman"/>
        </w:rPr>
        <w:t>，</w:t>
      </w:r>
      <w:r>
        <w:rPr>
          <w:rFonts w:hint="eastAsia" w:ascii="Times New Roman" w:hAnsi="Times New Roman" w:eastAsia="FangSong" w:cs="Times New Roman"/>
        </w:rPr>
        <w:t>它的分子组成应是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50</m:t>
            </m:r>
          </m:sub>
        </m:sSub>
        <m:r>
          <m:t>C</m:t>
        </m:r>
        <m:r>
          <m:t>O</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39</m:t>
            </m:r>
          </m:sub>
        </m:sSub>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41</m:t>
            </m:r>
          </m:sub>
        </m:sSub>
        <m:r>
          <m:t>C</m:t>
        </m:r>
        <m:r>
          <m:t>O</m:t>
        </m:r>
        <m:r>
          <m:t>O</m:t>
        </m:r>
        <m:r>
          <m:t>H</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47</m:t>
            </m:r>
          </m:sub>
        </m:sSub>
        <m:r>
          <m:t>C</m:t>
        </m:r>
        <m:r>
          <m:t>O</m:t>
        </m:r>
        <m:r>
          <m:t>O</m:t>
        </m:r>
        <m:r>
          <m:t>H</m:t>
        </m:r>
      </m:oMath>
    </w:p>
    <w:bookmarkEnd w:id="28"/>
    <w:bookmarkStart w:id="2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Compact"/>
        <w:numPr>
          <w:ilvl w:val="0"/>
          <w:numId w:val="1005"/>
        </w:numPr>
      </w:pPr>
      <w:r>
        <w:rPr>
          <w:rFonts w:hint="eastAsia" w:ascii="Times New Roman" w:hAnsi="Times New Roman" w:eastAsia="FangSong" w:cs="Times New Roman"/>
        </w:rPr>
        <w:t>糖类</w:t>
      </w:r>
      <w:r>
        <w:rPr>
          <w:rFonts w:hint="eastAsia" w:ascii="Times New Roman" w:hAnsi="Times New Roman" w:eastAsia="Times New Roman" w:cs="Times New Roman"/>
        </w:rPr>
        <w:t>、</w:t>
      </w:r>
      <w:r>
        <w:rPr>
          <w:rFonts w:hint="eastAsia" w:ascii="Times New Roman" w:hAnsi="Times New Roman" w:eastAsia="FangSong" w:cs="Times New Roman"/>
        </w:rPr>
        <w:t>脂肪和蛋白质是维持人体生命活动所必须的三大营养物质</w:t>
      </w:r>
      <w:r>
        <w:rPr>
          <w:rFonts w:hint="eastAsia" w:ascii="Times New Roman" w:hAnsi="Times New Roman" w:eastAsia="Times New Roman" w:cs="Times New Roman"/>
        </w:rPr>
        <w:t>，</w:t>
      </w:r>
      <w:r>
        <w:rPr>
          <w:rFonts w:hint="eastAsia" w:ascii="Times New Roman" w:hAnsi="Times New Roman" w:eastAsia="FangSong" w:cs="Times New Roman"/>
        </w:rPr>
        <w:t>以下叙述正确的是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植物油不能使溴的四氯化碳溶液褪色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淀粉水解的最终产物是葡萄糖</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葡萄糖能发生氧化反应和水解反应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蛋白质溶液遇硫酸铜后产生的沉淀能重新溶解于水</w:t>
      </w:r>
    </w:p>
    <w:bookmarkEnd w:id="29"/>
    <w:bookmarkStart w:id="3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bookmarkEnd w:id="30"/>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bookmarkEnd w:id="31"/>
    <w:bookmarkStart w:id="3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bookmarkEnd w:id="32"/>
    <w:bookmarkStart w:id="3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Compact"/>
        <w:numPr>
          <w:ilvl w:val="0"/>
          <w:numId w:val="100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脱脂棉与足量浓</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混合液反应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t>15.6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纤维素硝酸酯</w:t>
      </w:r>
      <w:r>
        <w:rPr>
          <w:rFonts w:hint="eastAsia" w:ascii="Times New Roman" w:hAnsi="Times New Roman" w:eastAsia="Times New Roman" w:cs="Times New Roman"/>
        </w:rPr>
        <w:t>，</w:t>
      </w:r>
      <w:r>
        <w:rPr>
          <w:rFonts w:hint="eastAsia" w:ascii="Times New Roman" w:hAnsi="Times New Roman" w:eastAsia="FangSong" w:cs="Times New Roman"/>
        </w:rPr>
        <w:t>则每个葡萄糖单元中发生酯化反应的羟基数是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　　B. 2　　C. 1　　D. </w:t>
      </w:r>
      <w:r>
        <w:rPr>
          <w:rFonts w:hint="eastAsia" w:ascii="Times New Roman" w:hAnsi="Times New Roman" w:eastAsia="FangSong" w:cs="Times New Roman"/>
        </w:rPr>
        <w:t xml:space="preserve">无法计算</w:t>
      </w:r>
    </w:p>
    <w:bookmarkEnd w:id="33"/>
    <w:bookmarkStart w:id="4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对乙酰氨基酚</w:t>
      </w:r>
      <w:r>
        <w:rPr>
          <w:rFonts w:hint="eastAsia" w:ascii="Times New Roman" w:hAnsi="Times New Roman" w:eastAsia="Times New Roman" w:cs="Times New Roman"/>
        </w:rPr>
        <w:t>,</w:t>
      </w:r>
      <w:r>
        <w:rPr>
          <w:rFonts w:hint="eastAsia" w:ascii="Times New Roman" w:hAnsi="Times New Roman" w:eastAsia="FangSong" w:cs="Times New Roman"/>
        </w:rPr>
        <w:t>俗称扑热息痛</w:t>
      </w:r>
      <w:r>
        <w:rPr>
          <w:rFonts w:hint="eastAsia" w:ascii="Times New Roman" w:hAnsi="Times New Roman" w:eastAsia="Times New Roman" w:cs="Times New Roman"/>
        </w:rPr>
        <w:t>(Paracetamol),</w:t>
      </w:r>
      <w:r>
        <w:rPr>
          <w:rFonts w:hint="eastAsia" w:ascii="Times New Roman" w:hAnsi="Times New Roman" w:eastAsia="FangSong" w:cs="Times New Roman"/>
        </w:rPr>
        <w:t>具有很强的解热镇痛作用</w:t>
      </w:r>
      <w:r>
        <w:rPr>
          <w:rFonts w:hint="eastAsia" w:ascii="Times New Roman" w:hAnsi="Times New Roman" w:eastAsia="Times New Roman" w:cs="Times New Roman"/>
        </w:rPr>
        <w:t>,</w:t>
      </w:r>
      <w:r>
        <w:rPr>
          <w:rFonts w:hint="eastAsia" w:ascii="Times New Roman" w:hAnsi="Times New Roman" w:eastAsia="FangSong" w:cs="Times New Roman"/>
        </w:rPr>
        <w:t>工业上通过下列方法合成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r>
        <w:rPr>
          <w:rFonts w:hint="eastAsia" w:ascii="Times New Roman" w:hAnsi="Times New Roman" w:eastAsia="FangSong" w:cs="Times New Roman"/>
        </w:rPr>
        <w:t>无机产物略去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40661"/>
            <wp:effectExtent b="0" l="0" r="0" t="0"/>
            <wp:docPr descr="" title="" id="35" name="Picture"/>
            <a:graphic>
              <a:graphicData uri="http://schemas.openxmlformats.org/drawingml/2006/picture">
                <pic:pic>
                  <pic:nvPicPr>
                    <pic:cNvPr descr="7d2110345d70a42c4fda53e4bedd37f7e3d61b4e2a31a86490a5e848cd67a4a4.jpg" id="36" name="Picture"/>
                    <pic:cNvPicPr>
                      <a:picLocks noChangeArrowheads="1" noChangeAspect="1"/>
                    </pic:cNvPicPr>
                  </pic:nvPicPr>
                  <pic:blipFill>
                    <a:blip r:embed="rId34"/>
                    <a:stretch>
                      <a:fillRect/>
                    </a:stretch>
                  </pic:blipFill>
                  <pic:spPr bwMode="auto">
                    <a:xfrm>
                      <a:off x="0" y="0"/>
                      <a:ext cx="3600000" cy="1240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上述</w:t>
      </w:r>
      <w:r>
        <w:rPr>
          <w:rFonts w:hint="eastAsia" w:ascii="Times New Roman" w:hAnsi="Times New Roman" w:eastAsia="Times New Roman" w:cs="Times New Roman"/>
        </w:rPr>
        <w:t>①～⑤</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填数字序号</w:t>
      </w:r>
      <w:r>
        <w:rPr>
          <w:rFonts w:hint="eastAsia" w:ascii="Times New Roman" w:hAnsi="Times New Roman" w:eastAsia="Times New Roman" w:cs="Times New Roman"/>
        </w:rPr>
        <w:t>）。</w:t>
      </w:r>
    </w:p>
    <w:p>
      <w:pPr>
        <w:numPr>
          <w:ilvl w:val="0"/>
          <w:numId w:val="1007"/>
        </w:numPr>
      </w:pP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分子内通过氢键又形成了一个六元环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”—N”</w:t>
      </w:r>
      <w:r>
        <w:rPr>
          <w:rFonts w:hint="eastAsia" w:ascii="Times New Roman" w:hAnsi="Times New Roman" w:eastAsia="FangSong" w:cs="Times New Roman"/>
        </w:rPr>
        <w:t>表示硝基</w:t>
      </w:r>
      <w:r>
        <w:rPr>
          <w:rFonts w:hint="eastAsia" w:ascii="Times New Roman" w:hAnsi="Times New Roman" w:eastAsia="Times New Roman" w:cs="Times New Roman"/>
        </w:rPr>
        <w:t>、</w:t>
      </w:r>
      <w:r>
        <w:rPr>
          <w:rFonts w:hint="eastAsia" w:ascii="Times New Roman" w:hAnsi="Times New Roman" w:eastAsia="FangSong" w:cs="Times New Roman"/>
        </w:rPr>
        <w:t>用</w:t>
      </w:r>
    </w:p>
    <w:p>
      <w:pPr>
        <w:pStyle w:val="FirstParagraph"/>
        <w:spacing w:before="160" w:after="80"/>
        <w:jc w:val="center"/>
      </w:pPr>
      <w:r>
        <w:rPr>
          <w:rFonts w:ascii="Times New Roman" w:hAnsi="Times New Roman" w:eastAsia="Times New Roman" w:cs="Times New Roman"/>
        </w:rPr>
        <w:drawing>
          <wp:inline>
            <wp:extent cx="2235200" cy="2336800"/>
            <wp:effectExtent b="0" l="0" r="0" t="0"/>
            <wp:docPr descr="" title="" id="38" name="Picture"/>
            <a:graphic>
              <a:graphicData uri="http://schemas.openxmlformats.org/drawingml/2006/picture">
                <pic:pic>
                  <pic:nvPicPr>
                    <pic:cNvPr descr="a11523606c93f5850f1bea34d8fa5b6a31f95940bf37d5f9bd079c9b08497cd8.jpg" id="39" name="Picture"/>
                    <pic:cNvPicPr>
                      <a:picLocks noChangeArrowheads="1" noChangeAspect="1"/>
                    </pic:cNvPicPr>
                  </pic:nvPicPr>
                  <pic:blipFill>
                    <a:blip r:embed="rId37"/>
                    <a:stretch>
                      <a:fillRect/>
                    </a:stretch>
                  </pic:blipFill>
                  <pic:spPr bwMode="auto">
                    <a:xfrm>
                      <a:off x="0" y="0"/>
                      <a:ext cx="2235200" cy="233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t>
      </w:r>
      <w:r>
        <w:rPr>
          <w:rFonts w:hint="eastAsia" w:ascii="Times New Roman" w:hAnsi="Times New Roman" w:eastAsia="FangSong" w:cs="Times New Roman"/>
        </w:rPr>
        <w:t>表示氢键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只能通过分子间氢键缔合</w:t>
      </w:r>
      <w:r>
        <w:rPr>
          <w:rFonts w:hint="eastAsia" w:ascii="Times New Roman" w:hAnsi="Times New Roman" w:eastAsia="Times New Roman" w:cs="Times New Roman"/>
        </w:rPr>
        <w:t>,</w:t>
      </w:r>
      <w:r>
        <w:rPr>
          <w:rFonts w:hint="eastAsia" w:ascii="Times New Roman" w:hAnsi="Times New Roman" w:eastAsia="FangSong" w:cs="Times New Roman"/>
        </w:rPr>
        <w:t>工业上用水蒸气蒸馏法将</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则首先被蒸出的成分是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工业上设计反应</w:t>
      </w:r>
      <w:r>
        <w:rPr>
          <w:rFonts w:hint="eastAsia" w:ascii="Times New Roman" w:hAnsi="Times New Roman" w:eastAsia="Times New Roman" w:cs="Times New Roman"/>
        </w:rPr>
        <w:t>①、②、③,</w:t>
      </w:r>
      <w:r>
        <w:rPr>
          <w:rFonts w:ascii="Times New Roman" w:hAnsi="Times New Roman" w:eastAsia="Times New Roman" w:cs="Times New Roman"/>
        </w:rPr>
        <w:t xml:space="preserve"> </w:t>
      </w:r>
      <w:r>
        <w:rPr>
          <w:rFonts w:hint="eastAsia" w:ascii="Times New Roman" w:hAnsi="Times New Roman" w:eastAsia="FangSong" w:cs="Times New Roman"/>
        </w:rPr>
        <w:t>而不是只通过反应</w:t>
      </w:r>
      <w:r>
        <w:rPr>
          <w:rFonts w:hint="eastAsia" w:ascii="Times New Roman" w:hAnsi="Times New Roman" w:eastAsia="Times New Roman" w:cs="Times New Roman"/>
        </w:rPr>
        <w:t>②</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C</m:t>
            </m:r>
          </m:e>
          <m:sub>
            <m:r>
              <m:t>1</m:t>
            </m:r>
          </m:sub>
        </m:sSub>
        <m:r>
          <m:rPr>
            <m:sty m:val="p"/>
          </m:rPr>
          <m:t>、</m:t>
        </m:r>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其目的是</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扑热息痛有很多同分异构体</w:t>
      </w:r>
      <w:r>
        <w:rPr>
          <w:rFonts w:hint="eastAsia" w:ascii="Times New Roman" w:hAnsi="Times New Roman" w:eastAsia="Times New Roman" w:cs="Times New Roman"/>
        </w:rPr>
        <w:t>,</w:t>
      </w:r>
      <w:r>
        <w:rPr>
          <w:rFonts w:hint="eastAsia" w:ascii="Times New Roman" w:hAnsi="Times New Roman" w:eastAsia="FangSong" w:cs="Times New Roman"/>
        </w:rPr>
        <w:t>符合下列要求的同分异构体有</w:t>
      </w:r>
      <w:r>
        <w:rPr>
          <w:rFonts w:hint="eastAsia" w:ascii="Times New Roman" w:hAnsi="Times New Roman" w:eastAsia="Times New Roman" w:cs="Times New Roman"/>
        </w:rPr>
        <w:t>5</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是对位二取代苯</w:t>
      </w:r>
      <w:r>
        <w:rPr>
          <w:rFonts w:hint="eastAsia" w:ascii="Times New Roman" w:hAnsi="Times New Roman" w:eastAsia="Times New Roman" w:cs="Times New Roman"/>
        </w:rPr>
        <w:t>;(II)</w:t>
      </w:r>
      <w:r>
        <w:rPr>
          <w:rFonts w:hint="eastAsia" w:ascii="Times New Roman" w:hAnsi="Times New Roman" w:eastAsia="FangSong" w:cs="Times New Roman"/>
        </w:rPr>
        <w:t>苯环上两个取代基一个含氮不含碳</w:t>
      </w:r>
      <w:r>
        <w:rPr>
          <w:rFonts w:hint="eastAsia" w:ascii="Times New Roman" w:hAnsi="Times New Roman" w:eastAsia="Times New Roman" w:cs="Times New Roman"/>
        </w:rPr>
        <w:t>、</w:t>
      </w:r>
      <w:r>
        <w:rPr>
          <w:rFonts w:hint="eastAsia" w:ascii="Times New Roman" w:hAnsi="Times New Roman" w:eastAsia="FangSong" w:cs="Times New Roman"/>
        </w:rPr>
        <w:t>另一个含碳不含氮</w:t>
      </w:r>
      <w:r>
        <w:rPr>
          <w:rFonts w:hint="eastAsia" w:ascii="Times New Roman" w:hAnsi="Times New Roman" w:eastAsia="Times New Roman" w:cs="Times New Roman"/>
        </w:rPr>
        <w:t>;(III)</w:t>
      </w:r>
      <w:r>
        <w:rPr>
          <w:rFonts w:hint="eastAsia" w:ascii="Times New Roman" w:hAnsi="Times New Roman" w:eastAsia="FangSong" w:cs="Times New Roman"/>
        </w:rPr>
        <w:t>两个氧原子与同一原子相连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种的结构简式是</w:t>
      </w:r>
      <w:r>
        <w:rPr>
          <w:rFonts w:ascii="Times New Roman" w:hAnsi="Times New Roman" w:eastAsia="Times New Roman" w:cs="Times New Roman"/>
        </w:rPr>
        <w:t xml:space="preserve"> </w:t>
      </w:r>
      <m:oMath>
        <m:oMathPr>
          <m:ctrlPr>
            <w:rPr>
              <w:sz w:val="28"/>
              <w:szCs w:val="28"/>
            </w:rPr>
          </m:ctrlPr>
        </m:oMathPr>
        <m:r>
          <m:t>H</m:t>
        </m:r>
        <m:r>
          <m:t>C</m:t>
        </m:r>
        <m:r>
          <m:t>O</m:t>
        </m:r>
        <m:r>
          <m:t>O</m:t>
        </m:r>
        <m:r>
          <m:t>C</m:t>
        </m:r>
        <m:sSub>
          <m:e>
            <m:r>
              <m:t>H</m:t>
            </m:r>
          </m:e>
          <m:sub>
            <m:r>
              <m:t>2</m:t>
            </m:r>
          </m:sub>
        </m:sSub>
        <m:r>
          <m:rPr>
            <m:sty m:val="p"/>
          </m:rPr>
          <m:t>−</m:t>
        </m:r>
        <m:r>
          <m:rPr>
            <m:nor/>
            <m:sty m:val="p"/>
          </m:rPr>
          <m:t>苯环</m:t>
        </m:r>
        <m:r>
          <m:rPr>
            <m:no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rPr>
            <m:nor/>
            <m:sty m:val="p"/>
          </m:rPr>
          <m:t>苯环</m:t>
        </m:r>
        <m:r>
          <m:rPr>
            <m:nor/>
            <m:sty m:val="p"/>
          </m:rPr>
          <m:t>—</m:t>
        </m:r>
        <m:r>
          <m:t>C</m:t>
        </m:r>
        <m:r>
          <m:t>O</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写出另</w:t>
      </w:r>
      <w:r>
        <w:rPr>
          <w:rFonts w:hint="eastAsia" w:ascii="Times New Roman" w:hAnsi="Times New Roman" w:eastAsia="Times New Roman" w:cs="Times New Roman"/>
        </w:rPr>
        <w:t>3</w:t>
      </w:r>
      <w:r>
        <w:rPr>
          <w:rFonts w:hint="eastAsia" w:ascii="Times New Roman" w:hAnsi="Times New Roman" w:eastAsia="FangSong" w:cs="Times New Roman"/>
        </w:rPr>
        <w:t>种同分异构体的结构简式</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600000" cy="771428"/>
            <wp:effectExtent b="0" l="0" r="0" t="0"/>
            <wp:docPr descr="" title="" id="41" name="Picture"/>
            <a:graphic>
              <a:graphicData uri="http://schemas.openxmlformats.org/drawingml/2006/picture">
                <pic:pic>
                  <pic:nvPicPr>
                    <pic:cNvPr descr="6a1dfebaad8a2c9b58a22d7ff143f86c341c79c0b3bc0d4ab06acda374e484ac.jpg" id="42" name="Picture"/>
                    <pic:cNvPicPr>
                      <a:picLocks noChangeArrowheads="1" noChangeAspect="1"/>
                    </pic:cNvPicPr>
                  </pic:nvPicPr>
                  <pic:blipFill>
                    <a:blip r:embed="rId40"/>
                    <a:stretch>
                      <a:fillRect/>
                    </a:stretch>
                  </pic:blipFill>
                  <pic:spPr bwMode="auto">
                    <a:xfrm>
                      <a:off x="0" y="0"/>
                      <a:ext cx="3600000" cy="771428"/>
                    </a:xfrm>
                    <a:prstGeom prst="rect">
                      <a:avLst/>
                    </a:prstGeom>
                    <a:noFill/>
                    <a:ln w="9525">
                      <a:noFill/>
                      <a:headEnd/>
                      <a:tailEnd/>
                    </a:ln>
                  </pic:spPr>
                </pic:pic>
              </a:graphicData>
            </a:graphic>
          </wp:inline>
        </w:drawing>
      </w:r>
    </w:p>
    <w:bookmarkEnd w:id="43"/>
    <w:bookmarkStart w:id="47"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45" name="Picture"/>
            <a:graphic>
              <a:graphicData uri="http://schemas.openxmlformats.org/drawingml/2006/picture">
                <pic:pic>
                  <pic:nvPicPr>
                    <pic:cNvPr descr="69d5d113c7102e4ca76668f8eaac05d2a137d2a1201252ed08e393e5485e67bd.jpg" id="46" name="Picture"/>
                    <pic:cNvPicPr>
                      <a:picLocks noChangeArrowheads="1" noChangeAspect="1"/>
                    </pic:cNvPicPr>
                  </pic:nvPicPr>
                  <pic:blipFill>
                    <a:blip r:embed="rId44"/>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bookmarkEnd w:id="47"/>
    <w:bookmarkStart w:id="4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bookmarkEnd w:id="48"/>
    <w:bookmarkStart w:id="5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50" name="Picture"/>
            <a:graphic>
              <a:graphicData uri="http://schemas.openxmlformats.org/drawingml/2006/picture">
                <pic:pic>
                  <pic:nvPicPr>
                    <pic:cNvPr descr="5b0d37308335a22ecc24c55ec7ab36b3893ccdde098bd370761b319fdab8d426.jpg" id="51" name="Picture"/>
                    <pic:cNvPicPr>
                      <a:picLocks noChangeArrowheads="1" noChangeAspect="1"/>
                    </pic:cNvPicPr>
                  </pic:nvPicPr>
                  <pic:blipFill>
                    <a:blip r:embed="rId49"/>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1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11"/>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bookmarkEnd w:id="52"/>
    <w:bookmarkStart w:id="5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12"/>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54" name="Picture"/>
            <a:graphic>
              <a:graphicData uri="http://schemas.openxmlformats.org/drawingml/2006/picture">
                <pic:pic>
                  <pic:nvPicPr>
                    <pic:cNvPr descr="38b97ef13dc1b2e78c9bd9007de62fc49dfbf485d2b04050499840860c3f5b87.jpg" id="55" name="Picture"/>
                    <pic:cNvPicPr>
                      <a:picLocks noChangeArrowheads="1" noChangeAspect="1"/>
                    </pic:cNvPicPr>
                  </pic:nvPicPr>
                  <pic:blipFill>
                    <a:blip r:embed="rId53"/>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bookmarkEnd w:id="56"/>
    <w:bookmarkStart w:id="5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13"/>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bookmarkEnd w:id="57"/>
    <w:bookmarkStart w:id="58"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bookmarkEnd w:id="58"/>
    <w:bookmarkStart w:id="6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60" name="Picture"/>
            <a:graphic>
              <a:graphicData uri="http://schemas.openxmlformats.org/drawingml/2006/picture">
                <pic:pic>
                  <pic:nvPicPr>
                    <pic:cNvPr descr="ebaca68d8ff4fb23ffabae60cbcb8c66d898d2158585b7abd78083ddba27b44f.jpg" id="61" name="Picture"/>
                    <pic:cNvPicPr>
                      <a:picLocks noChangeArrowheads="1" noChangeAspect="1"/>
                    </pic:cNvPicPr>
                  </pic:nvPicPr>
                  <pic:blipFill>
                    <a:blip r:embed="rId59"/>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63" name="Picture"/>
            <a:graphic>
              <a:graphicData uri="http://schemas.openxmlformats.org/drawingml/2006/picture">
                <pic:pic>
                  <pic:nvPicPr>
                    <pic:cNvPr descr="95e700eb2a480d88c7bc4c062aa3dee14f6fe567020ac52e5f31fee87553773f.jpg" id="64" name="Picture"/>
                    <pic:cNvPicPr>
                      <a:picLocks noChangeArrowheads="1" noChangeAspect="1"/>
                    </pic:cNvPicPr>
                  </pic:nvPicPr>
                  <pic:blipFill>
                    <a:blip r:embed="rId62"/>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bookmarkEnd w:id="65"/>
    <w:bookmarkStart w:id="69"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67" name="Picture"/>
            <a:graphic>
              <a:graphicData uri="http://schemas.openxmlformats.org/drawingml/2006/picture">
                <pic:pic>
                  <pic:nvPicPr>
                    <pic:cNvPr descr="29411066ba4c743719c47e5d79618b76dcb22c20b451ac28629c697f604395ea.jpg" id="68" name="Picture"/>
                    <pic:cNvPicPr>
                      <a:picLocks noChangeArrowheads="1" noChangeAspect="1"/>
                    </pic:cNvPicPr>
                  </pic:nvPicPr>
                  <pic:blipFill>
                    <a:blip r:embed="rId66"/>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14"/>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bookmarkEnd w:id="69"/>
    <w:bookmarkStart w:id="70"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0"/>
    <w:bookmarkStart w:id="71"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可用来检验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bookmarkEnd w:id="71"/>
    <w:bookmarkStart w:id="7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一种作为接触法制备硫酸的催化剂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在它的催化作用下</w:t>
      </w:r>
      <w:r>
        <w:rPr>
          <w:rFonts w:hint="eastAsia" w:ascii="Times New Roman" w:hAnsi="Times New Roman" w:eastAsia="Times New Roman" w:cs="Times New Roman"/>
        </w:rPr>
        <w:t>，</w:t>
      </w:r>
      <w:r>
        <w:rPr>
          <w:rFonts w:hint="eastAsia" w:ascii="Times New Roman" w:hAnsi="Times New Roman" w:eastAsia="FangSong" w:cs="Times New Roman"/>
        </w:rPr>
        <w:t>二氧化硫被氧化为三氧化硫</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写出这种催化剂</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溶于盐酸得到一种化合物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氯气和水</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在水溶液中形成一种</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价的六配位的络离子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写出该络离子</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与乙酰丙酮</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反应可得到蓝色的五配位络合物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写出该络合物</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bookmarkEnd w:id="72"/>
    <w:bookmarkStart w:id="73"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标准电极电位的高低可以参照物质在水溶液中氧化态氧化性和还原态还原性的强弱</w:t>
      </w:r>
      <w:r>
        <w:rPr>
          <w:rFonts w:hint="eastAsia" w:ascii="Times New Roman" w:hAnsi="Times New Roman" w:eastAsia="Times New Roman" w:cs="Times New Roman"/>
        </w:rPr>
        <w:t>，</w:t>
      </w:r>
      <w:r>
        <w:rPr>
          <w:rFonts w:hint="eastAsia" w:ascii="Times New Roman" w:hAnsi="Times New Roman" w:eastAsia="FangSong" w:cs="Times New Roman"/>
        </w:rPr>
        <w:t>标准电极电位代数值越高</w:t>
      </w:r>
      <w:r>
        <w:rPr>
          <w:rFonts w:hint="eastAsia" w:ascii="Times New Roman" w:hAnsi="Times New Roman" w:eastAsia="Times New Roman" w:cs="Times New Roman"/>
        </w:rPr>
        <w:t>，</w:t>
      </w:r>
      <w:r>
        <w:rPr>
          <w:rFonts w:hint="eastAsia" w:ascii="Times New Roman" w:hAnsi="Times New Roman" w:eastAsia="FangSong" w:cs="Times New Roman"/>
        </w:rPr>
        <w:t>氧化态氧化性越强</w:t>
      </w:r>
      <w:r>
        <w:rPr>
          <w:rFonts w:hint="eastAsia" w:ascii="Times New Roman" w:hAnsi="Times New Roman" w:eastAsia="Times New Roman" w:cs="Times New Roman"/>
        </w:rPr>
        <w:t>，</w:t>
      </w:r>
      <w:r>
        <w:rPr>
          <w:rFonts w:hint="eastAsia" w:ascii="Times New Roman" w:hAnsi="Times New Roman" w:eastAsia="FangSong" w:cs="Times New Roman"/>
        </w:rPr>
        <w:t>还原态还原性越弱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sSup>
              <m:e>
                <m:r>
                  <m:t>e</m:t>
                </m:r>
              </m:e>
              <m:sup>
                <m:r>
                  <m:t>3</m:t>
                </m:r>
                <m:r>
                  <m:rPr>
                    <m:sty m:val="p"/>
                  </m:rPr>
                  <m:t>+</m:t>
                </m:r>
              </m:sup>
            </m:sSup>
            <m:r>
              <m:rPr>
                <m:sty m:val="p"/>
              </m:rPr>
              <m:t>/</m:t>
            </m:r>
            <m:r>
              <m:t>F</m:t>
            </m:r>
            <m:sSup>
              <m:e>
                <m:r>
                  <m:t>e</m:t>
                </m:r>
              </m:e>
              <m:sup>
                <m:r>
                  <m:t>2</m:t>
                </m:r>
                <m:r>
                  <m:rPr>
                    <m:sty m:val="p"/>
                  </m:rPr>
                  <m:t>+</m:t>
                </m:r>
              </m:sup>
            </m:sSup>
          </m:sub>
          <m:sup>
            <m:r>
              <m:rPr>
                <m:sty m:val="p"/>
              </m:rPr>
              <m:t>⊖</m:t>
            </m:r>
          </m:sup>
        </m:sSubSup>
        <m:r>
          <m:rPr>
            <m:sty m:val="p"/>
          </m:rPr>
          <m:t>=</m:t>
        </m:r>
        <m:r>
          <m:t>0.77</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rPr>
                <m:sty m:val="p"/>
              </m:rPr>
              <m:t>(</m:t>
            </m:r>
            <m:r>
              <m:t>C</m:t>
            </m:r>
            <m:r>
              <m:t>N</m:t>
            </m:r>
            <m:sSub>
              <m:e>
                <m:r>
                  <m:rPr>
                    <m:sty m:val="p"/>
                  </m:rPr>
                  <m:t>)</m:t>
                </m:r>
              </m:e>
              <m:sub>
                <m:r>
                  <m:t>2</m:t>
                </m:r>
              </m:sub>
            </m:sSub>
            <m:r>
              <m:rPr>
                <m:sty m:val="p"/>
              </m:rPr>
              <m:t>/</m:t>
            </m:r>
            <m:r>
              <m:t>C</m:t>
            </m:r>
            <m:sSup>
              <m:e>
                <m:r>
                  <m:t>N</m:t>
                </m:r>
              </m:e>
              <m:sup>
                <m:r>
                  <m:rPr>
                    <m:sty m:val="p"/>
                  </m:rPr>
                  <m:t>−</m:t>
                </m:r>
              </m:sup>
            </m:sSup>
          </m:sub>
          <m:sup>
            <m:r>
              <m:rPr>
                <m:sty m:val="p"/>
              </m:rPr>
              <m:t>⊖</m:t>
            </m:r>
          </m:sup>
        </m:sSubSup>
        <m:r>
          <m:rPr>
            <m:sty m:val="p"/>
          </m:rPr>
          <m:t>=</m:t>
        </m:r>
        <m:r>
          <m:t>0.37</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t>P</m:t>
            </m:r>
            <m:r>
              <m:t>b</m:t>
            </m:r>
            <m:sSub>
              <m:e>
                <m:r>
                  <m:t>O</m:t>
                </m:r>
              </m:e>
              <m:sub>
                <m:r>
                  <m:t>2</m:t>
                </m:r>
              </m:sub>
            </m:sSub>
            <m:r>
              <m:rPr>
                <m:sty m:val="p"/>
              </m:rPr>
              <m:t>/</m:t>
            </m:r>
            <m:r>
              <m:t>P</m:t>
            </m:r>
            <m:sSup>
              <m:e>
                <m:r>
                  <m:t>b</m:t>
                </m:r>
              </m:e>
              <m:sup>
                <m:r>
                  <m:t>2</m:t>
                </m:r>
                <m:r>
                  <m:rPr>
                    <m:sty m:val="p"/>
                  </m:rPr>
                  <m:t>+</m:t>
                </m:r>
              </m:sup>
            </m:sSup>
          </m:sub>
          <m:sup>
            <m:r>
              <m:rPr>
                <m:sty m:val="p"/>
              </m:rPr>
              <m:t>⊖</m:t>
            </m:r>
          </m:sup>
        </m:sSubSup>
        <m:r>
          <m:rPr>
            <m:sty m:val="p"/>
          </m:rPr>
          <m:t>=</m:t>
        </m:r>
        <m:r>
          <m:t>1.46</m:t>
        </m:r>
        <m:r>
          <m:t> </m:t>
        </m:r>
        <m:r>
          <m:t>V</m:t>
        </m:r>
      </m:oMath>
      <w:r>
        <w:rPr>
          <w:rFonts w:hint="eastAsia" w:ascii="Times New Roman" w:hAnsi="Times New Roman" w:eastAsia="Times New Roman" w:cs="Times New Roman"/>
        </w:rPr>
        <w:t xml:space="preserve">，</w:t>
      </w:r>
      <m:oMath>
        <m:oMathPr>
          <m:ctrlPr>
            <w:rPr>
              <w:sz w:val="28"/>
              <w:szCs w:val="28"/>
            </w:rPr>
          </m:ctrlPr>
        </m:oMathPr>
        <m:sSubSup>
          <m:e>
            <m:r>
              <m:t>E</m:t>
            </m:r>
          </m:e>
          <m:sub>
            <m:r>
              <m:t>C</m:t>
            </m:r>
            <m:sSub>
              <m:e>
                <m:r>
                  <m:t>l</m:t>
                </m:r>
              </m:e>
              <m:sub>
                <m:r>
                  <m:t>2</m:t>
                </m:r>
              </m:sub>
            </m:sSub>
            <m:r>
              <m:rPr>
                <m:sty m:val="p"/>
              </m:rPr>
              <m:t>/</m:t>
            </m:r>
            <m:r>
              <m:t>C</m:t>
            </m:r>
            <m:sSup>
              <m:e>
                <m:r>
                  <m:t>l</m:t>
                </m:r>
              </m:e>
              <m:sup>
                <m:r>
                  <m:rPr>
                    <m:sty m:val="p"/>
                  </m:rPr>
                  <m:t>−</m:t>
                </m:r>
              </m:sup>
            </m:sSup>
          </m:sub>
          <m:sup>
            <m:r>
              <m:rPr>
                <m:sty m:val="p"/>
              </m:rPr>
              <m:t>⊖</m:t>
            </m:r>
          </m:sup>
        </m:sSubSup>
        <m:r>
          <m:rPr>
            <m:sty m:val="p"/>
          </m:rPr>
          <m:t>=</m:t>
        </m:r>
        <m:r>
          <m:t>1.36</m:t>
        </m:r>
        <m:r>
          <m:t> </m:t>
        </m:r>
        <m: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具有中等强度的氧化性</w:t>
      </w:r>
      <w:r>
        <w:rPr>
          <w:rFonts w:hint="eastAsia" w:ascii="Times New Roman" w:hAnsi="Times New Roman" w:eastAsia="Times New Roman" w:cs="Times New Roman"/>
        </w:rPr>
        <w:t>，</w:t>
      </w:r>
      <w:r>
        <w:rPr>
          <w:rFonts w:hint="eastAsia" w:ascii="Times New Roman" w:hAnsi="Times New Roman" w:eastAsia="FangSong" w:cs="Times New Roman"/>
        </w:rPr>
        <w:t>又由于它具有空轨道</w:t>
      </w:r>
      <w:r>
        <w:rPr>
          <w:rFonts w:hint="eastAsia" w:ascii="Times New Roman" w:hAnsi="Times New Roman" w:eastAsia="Times New Roman" w:cs="Times New Roman"/>
        </w:rPr>
        <w:t>，</w:t>
      </w:r>
      <w:r>
        <w:rPr>
          <w:rFonts w:hint="eastAsia" w:ascii="Times New Roman" w:hAnsi="Times New Roman" w:eastAsia="FangSong" w:cs="Times New Roman"/>
        </w:rPr>
        <w:t>因此可以与许多具有孤对电子的离子形成配离子</w:t>
      </w:r>
      <w:r>
        <w:rPr>
          <w:rFonts w:hint="eastAsia" w:ascii="Times New Roman" w:hAnsi="Times New Roman" w:eastAsia="Times New Roman" w:cs="Times New Roman"/>
        </w:rPr>
        <w:t>。</w:t>
      </w:r>
      <w:r>
        <w:rPr>
          <w:rFonts w:hint="eastAsia" w:ascii="Times New Roman" w:hAnsi="Times New Roman" w:eastAsia="FangSong" w:cs="Times New Roman"/>
        </w:rPr>
        <w:t>如与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等配合</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在性质上与卤离子</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t>
        </m:r>
        <m:r>
          <m:t>C</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则类似游离卤素</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t>
        </m:r>
        <m:r>
          <m:t>C</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称为拟卤素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K</m:t>
                </m:r>
              </m:e>
              <m:sub>
                <m:r>
                  <m:t>4</m:t>
                </m:r>
              </m:sub>
            </m:sSub>
            <m:d>
              <m:dPr>
                <m:begChr m:val="["/>
                <m:sepChr m:val=""/>
                <m:endChr m:val="]"/>
                <m:grow/>
              </m:dPr>
              <m:e>
                <m:r>
                  <m:t>F</m:t>
                </m:r>
                <m:r>
                  <m:t>e</m:t>
                </m:r>
                <m:r>
                  <m:rPr>
                    <m:sty m:val="p"/>
                  </m:rPr>
                  <m:t>(</m:t>
                </m:r>
                <m:r>
                  <m:t>C</m:t>
                </m:r>
                <m:r>
                  <m:t>N</m:t>
                </m:r>
                <m:sSub>
                  <m:e>
                    <m:r>
                      <m:rPr>
                        <m:sty m:val="p"/>
                      </m:rPr>
                      <m:t>)</m:t>
                    </m:r>
                  </m:e>
                  <m:sub>
                    <m:r>
                      <m:t>6</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直接在溶液中作用而合成</w:t>
      </w:r>
      <w:r>
        <w:rPr>
          <w:rFonts w:hint="eastAsia" w:ascii="Times New Roman" w:hAnsi="Times New Roman" w:eastAsia="Times New Roman" w:cs="Times New Roman"/>
        </w:rPr>
        <w:t>，</w:t>
      </w:r>
      <w:r>
        <w:rPr>
          <w:rFonts w:hint="eastAsia" w:ascii="Times New Roman" w:hAnsi="Times New Roman" w:eastAsia="FangSong" w:cs="Times New Roman"/>
        </w:rPr>
        <w:t>但制备赤血盐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K</m:t>
                </m:r>
              </m:e>
              <m:sub>
                <m:r>
                  <m:t>3</m:t>
                </m:r>
              </m:sub>
            </m:sSub>
            <m:d>
              <m:dPr>
                <m:begChr m:val="["/>
                <m:sepChr m:val=""/>
                <m:endChr m:val="]"/>
                <m:grow/>
              </m:dPr>
              <m:e>
                <m:r>
                  <m:t>F</m:t>
                </m:r>
                <m:r>
                  <m:t>e</m:t>
                </m:r>
                <m:r>
                  <m:rPr>
                    <m:sty m:val="p"/>
                  </m:rPr>
                  <m:t>(</m:t>
                </m:r>
                <m:r>
                  <m:t>C</m:t>
                </m:r>
                <m:r>
                  <m:t>N</m:t>
                </m:r>
                <m:sSub>
                  <m:e>
                    <m:r>
                      <m:rPr>
                        <m:sty m:val="p"/>
                      </m:rPr>
                      <m:t>)</m:t>
                    </m:r>
                  </m:e>
                  <m:sub>
                    <m:r>
                      <m:t>6</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却不能直接用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作用而得</w:t>
      </w:r>
      <w:r>
        <w:rPr>
          <w:rFonts w:hint="eastAsia" w:ascii="Times New Roman" w:hAnsi="Times New Roman" w:eastAsia="Times New Roman" w:cs="Times New Roman"/>
        </w:rPr>
        <w:t>，</w:t>
      </w:r>
      <w:r>
        <w:rPr>
          <w:rFonts w:hint="eastAsia" w:ascii="Times New Roman" w:hAnsi="Times New Roman" w:eastAsia="FangSong" w:cs="Times New Roman"/>
        </w:rPr>
        <w:t>而是采用氧化剂</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将黄血盐氧化为赤血盐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铅位于第</w:t>
      </w:r>
      <w:r>
        <w:rPr>
          <w:rFonts w:ascii="Times New Roman" w:hAnsi="Times New Roman" w:eastAsia="Times New Roman" w:cs="Times New Roman"/>
        </w:rPr>
        <w:t xml:space="preserve"> 6 </w:t>
      </w:r>
      <w:r>
        <w:rPr>
          <w:rFonts w:hint="eastAsia" w:ascii="Times New Roman" w:hAnsi="Times New Roman" w:eastAsia="FangSong" w:cs="Times New Roman"/>
        </w:rPr>
        <w:t>周期</w:t>
      </w:r>
      <w:r>
        <w:rPr>
          <w:rFonts w:hint="eastAsia" w:ascii="Times New Roman" w:hAnsi="Times New Roman" w:eastAsia="Times New Roman" w:cs="Times New Roman"/>
        </w:rPr>
        <w:t>ⅣA</w:t>
      </w:r>
      <w:r>
        <w:rPr>
          <w:rFonts w:ascii="Times New Roman" w:hAnsi="Times New Roman" w:eastAsia="Times New Roman" w:cs="Times New Roman"/>
        </w:rPr>
        <w:t xml:space="preserve">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价两种氧化态</w:t>
      </w:r>
      <w:r>
        <w:rPr>
          <w:rFonts w:hint="eastAsia" w:ascii="Times New Roman" w:hAnsi="Times New Roman" w:eastAsia="Times New Roman" w:cs="Times New Roman"/>
        </w:rPr>
        <w:t>，</w:t>
      </w:r>
      <w:r>
        <w:rPr>
          <w:rFonts w:hint="eastAsia" w:ascii="Times New Roman" w:hAnsi="Times New Roman" w:eastAsia="FangSong" w:cs="Times New Roman"/>
        </w:rPr>
        <w:t>溶液中的无色</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生成溶于硝酸的黑色</w:t>
      </w:r>
      <w:r>
        <w:rPr>
          <w:rFonts w:ascii="Times New Roman" w:hAnsi="Times New Roman" w:eastAsia="Times New Roman" w:cs="Times New Roman"/>
        </w:rPr>
        <w:t xml:space="preserve"> PbS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生成黄色沉淀</w:t>
      </w:r>
      <w:r>
        <w:rPr>
          <w:rFonts w:hint="eastAsia" w:ascii="Times New Roman" w:hAnsi="Times New Roman" w:eastAsia="Times New Roman" w:cs="Times New Roman"/>
        </w:rPr>
        <w:t>（</w:t>
      </w:r>
      <w:r>
        <w:rPr>
          <w:rFonts w:hint="eastAsia" w:ascii="Times New Roman" w:hAnsi="Times New Roman" w:eastAsia="FangSong" w:cs="Times New Roman"/>
        </w:rPr>
        <w:t>铬黄颜料</w:t>
      </w:r>
      <w:r>
        <w:rPr>
          <w:rFonts w:hint="eastAsia" w:ascii="Times New Roman" w:hAnsi="Times New Roman" w:eastAsia="Times New Roman" w:cs="Times New Roman"/>
        </w:rPr>
        <w:t>），</w:t>
      </w:r>
      <w:r>
        <w:rPr>
          <w:rFonts w:hint="eastAsia" w:ascii="Times New Roman" w:hAnsi="Times New Roman" w:eastAsia="FangSong" w:cs="Times New Roman"/>
        </w:rPr>
        <w:t>此反应很灵敏</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ascii="Times New Roman" w:hAnsi="Times New Roman" w:eastAsia="Times New Roman" w:cs="Times New Roman"/>
        </w:rPr>
        <w:t xml:space="preserve"> +4 </w:t>
      </w:r>
      <w:r>
        <w:rPr>
          <w:rFonts w:hint="eastAsia" w:ascii="Times New Roman" w:hAnsi="Times New Roman" w:eastAsia="FangSong" w:cs="Times New Roman"/>
        </w:rPr>
        <w:t>价氧化物是铅蓄电池的阳极材料</w:t>
      </w:r>
      <w:r>
        <w:rPr>
          <w:rFonts w:hint="eastAsia" w:ascii="Times New Roman" w:hAnsi="Times New Roman" w:eastAsia="Times New Roman" w:cs="Times New Roman"/>
        </w:rPr>
        <w:t>，</w:t>
      </w:r>
      <w:r>
        <w:rPr>
          <w:rFonts w:hint="eastAsia" w:ascii="Times New Roman" w:hAnsi="Times New Roman" w:eastAsia="FangSong" w:cs="Times New Roman"/>
        </w:rPr>
        <w:t>其氧化性很强</w:t>
      </w:r>
      <w:r>
        <w:rPr>
          <w:rFonts w:hint="eastAsia" w:ascii="Times New Roman" w:hAnsi="Times New Roman" w:eastAsia="Times New Roman" w:cs="Times New Roman"/>
        </w:rPr>
        <w:t>，</w:t>
      </w:r>
      <w:r>
        <w:rPr>
          <w:rFonts w:hint="eastAsia" w:ascii="Times New Roman" w:hAnsi="Times New Roman" w:eastAsia="FangSong" w:cs="Times New Roman"/>
        </w:rPr>
        <w:t>在酸性溶液中能把</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今有稀盐酸</w:t>
      </w:r>
      <w:r>
        <w:rPr>
          <w:rFonts w:hint="eastAsia" w:ascii="Times New Roman" w:hAnsi="Times New Roman" w:eastAsia="Times New Roman" w:cs="Times New Roman"/>
        </w:rPr>
        <w:t>、</w:t>
      </w:r>
      <w:r>
        <w:rPr>
          <w:rFonts w:hint="eastAsia" w:ascii="Times New Roman" w:hAnsi="Times New Roman" w:eastAsia="FangSong" w:cs="Times New Roman"/>
        </w:rPr>
        <w:t>稀硫酸</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硫化钠</w:t>
      </w:r>
      <w:r>
        <w:rPr>
          <w:rFonts w:hint="eastAsia" w:ascii="Times New Roman" w:hAnsi="Times New Roman" w:eastAsia="Times New Roman" w:cs="Times New Roman"/>
        </w:rPr>
        <w:t>、Pb、</w:t>
      </w:r>
      <w:r>
        <w:rPr>
          <w:rFonts w:hint="eastAsia" w:ascii="Times New Roman" w:hAnsi="Times New Roman" w:eastAsia="FangSong" w:cs="Times New Roman"/>
        </w:rPr>
        <w:t>硫酸铁</w:t>
      </w:r>
      <w:r>
        <w:rPr>
          <w:rFonts w:hint="eastAsia" w:ascii="Times New Roman" w:hAnsi="Times New Roman" w:eastAsia="Times New Roman" w:cs="Times New Roman"/>
        </w:rPr>
        <w:t>、</w:t>
      </w:r>
      <w:r>
        <w:rPr>
          <w:rFonts w:hint="eastAsia" w:ascii="Times New Roman" w:hAnsi="Times New Roman" w:eastAsia="FangSong" w:cs="Times New Roman"/>
        </w:rPr>
        <w:t>硫酸亚铁</w:t>
      </w:r>
      <w:r>
        <w:rPr>
          <w:rFonts w:hint="eastAsia" w:ascii="Times New Roman" w:hAnsi="Times New Roman" w:eastAsia="Times New Roman" w:cs="Times New Roman"/>
        </w:rPr>
        <w:t>、KCN、</w:t>
      </w:r>
      <m:oMath>
        <m:sSub>
          <m:e>
            <m:r>
              <m:t>H</m:t>
            </m:r>
          </m:e>
          <m:sub>
            <m:r>
              <m:t>2</m:t>
            </m:r>
          </m:sub>
        </m:sSub>
        <m:sSub>
          <m:e>
            <m:r>
              <m:t>O</m:t>
            </m:r>
          </m:e>
          <m:sub>
            <m:r>
              <m:t>2</m:t>
            </m:r>
          </m:sub>
        </m:sSub>
      </m:oMath>
      <w:r>
        <w:rPr>
          <w:rFonts w:ascii="Times New Roman" w:hAnsi="Times New Roman" w:eastAsia="Times New Roman" w:cs="Times New Roman"/>
        </w:rPr>
        <w:t>、MnSO</w:t>
      </w:r>
      <w:r>
        <w:rPr>
          <w:rFonts w:ascii="Times New Roman" w:hAnsi="Times New Roman" w:eastAsia="Times New Roman" w:cs="Times New Roman"/>
          <w:vertAlign w:val="subscript"/>
        </w:rPr>
        <w:t>4</w:t>
      </w:r>
      <w:r>
        <w:rPr>
          <w:rFonts w:ascii="Times New Roman" w:hAnsi="Times New Roman" w:eastAsia="Times New Roman" w:cs="Times New Roman"/>
        </w:rPr>
        <w:t>、</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请选择适当试剂</w:t>
      </w:r>
      <w:r>
        <w:rPr>
          <w:rFonts w:hint="eastAsia" w:ascii="Times New Roman" w:hAnsi="Times New Roman" w:eastAsia="Times New Roman" w:cs="Times New Roman"/>
        </w:rPr>
        <w:t>，</w:t>
      </w:r>
      <w:r>
        <w:rPr>
          <w:rFonts w:hint="eastAsia" w:ascii="Times New Roman" w:hAnsi="Times New Roman" w:eastAsia="FangSong" w:cs="Times New Roman"/>
        </w:rPr>
        <w:t>按要求回答下列问题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写出制备黄血盐的化学方程式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写出制备赤血盐的化学方程式</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直接反应制备赤血盐的原因是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证明一种红色固体</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价两种铅离子的方法和现象是</w:t>
      </w:r>
      <w:r>
        <w:rPr>
          <w:rFonts w:hint="eastAsia" w:ascii="Times New Roman" w:hAnsi="Times New Roman" w:eastAsia="Times New Roman" w:cs="Times New Roman"/>
        </w:rPr>
        <w:t>____。</w:t>
      </w:r>
    </w:p>
    <w:bookmarkEnd w:id="73"/>
    <w:bookmarkStart w:id="74"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01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bookmarkEnd w:id="74"/>
    <w:bookmarkStart w:id="7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⑥</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75"/>
    <w:bookmarkEnd w:id="7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66" Type="http://schemas.openxmlformats.org/officeDocument/2006/relationships/image" Target="media/rId66.jpg"/><Relationship Id="rId53" Type="http://schemas.openxmlformats.org/officeDocument/2006/relationships/image" Target="media/rId53.jpg"/><Relationship Id="rId13" Type="http://schemas.openxmlformats.org/officeDocument/2006/relationships/image" Target="media/rId13.jpg"/><Relationship Id="rId49" Type="http://schemas.openxmlformats.org/officeDocument/2006/relationships/image" Target="media/rId49.jpg"/><Relationship Id="rId19" Type="http://schemas.openxmlformats.org/officeDocument/2006/relationships/image" Target="media/rId19.jpg"/><Relationship Id="rId44" Type="http://schemas.openxmlformats.org/officeDocument/2006/relationships/image" Target="media/rId44.jpg"/><Relationship Id="rId40" Type="http://schemas.openxmlformats.org/officeDocument/2006/relationships/image" Target="media/rId40.jpg"/><Relationship Id="rId22" Type="http://schemas.openxmlformats.org/officeDocument/2006/relationships/image" Target="media/rId22.jpg"/><Relationship Id="rId34" Type="http://schemas.openxmlformats.org/officeDocument/2006/relationships/image" Target="media/rId34.jpg"/><Relationship Id="rId62" Type="http://schemas.openxmlformats.org/officeDocument/2006/relationships/image" Target="media/rId62.jpg"/><Relationship Id="rId37" Type="http://schemas.openxmlformats.org/officeDocument/2006/relationships/image" Target="media/rId37.jpg"/><Relationship Id="rId59" Type="http://schemas.openxmlformats.org/officeDocument/2006/relationships/image" Target="media/rId5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2026-09-07T03:04:48Z</dcterms:created>
  <dcterms:modified xsi:type="dcterms:W3CDTF">2026-09-07T03:04:48Z</dcterms:modified>
</cp:coreProperties>
</file>

<file path=docProps/custom.xml><?xml version="1.0" encoding="utf-8"?>
<Properties xmlns="http://schemas.openxmlformats.org/officeDocument/2006/custom-properties" xmlns:vt="http://schemas.openxmlformats.org/officeDocument/2006/docPropsVTypes"/>
</file>