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p>
        </w:tc>
      </w:tr>
    </w:tbl>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配位键与普通共价键</w:t>
      </w: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中性分子配位体</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阴离子配位体</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分子式</w:t>
            </w:r>
          </w:p>
        </w:tc>
        <w:tc>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727494"/>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1"/>
        </w:numPr>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218"/>
        <w:gridCol w:w="1218"/>
        <w:gridCol w:w="1218"/>
        <w:gridCol w:w="1523"/>
        <w:gridCol w:w="1523"/>
        <w:gridCol w:w="1218"/>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中心离子及价数</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配合离子电荷数</w:t>
            </w:r>
          </w:p>
        </w:tc>
        <w:tc>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O </w:t>
      </w:r>
      <w:r>
        <w:rPr>
          <w:rFonts w:hint="eastAsia" w:ascii="Times New Roman" w:hAnsi="Times New Roman" w:eastAsia="FangSong" w:cs="Times New Roman"/>
        </w:rPr>
        <w:t>原子与中心离子配位形成四元环</w:t>
      </w:r>
      <w:r>
        <w:rPr>
          <w:rFonts w:hint="eastAsia" w:ascii="Times New Roman" w:hAnsi="Times New Roman" w:eastAsia="Times New Roman" w:cs="Times New Roman"/>
        </w:rPr>
        <w:t>。</w:t>
      </w:r>
      <w:r>
        <w:rPr>
          <w:rFonts w:hint="eastAsia" w:ascii="Times New Roman" w:hAnsi="Times New Roman" w:eastAsia="FangSong" w:cs="Times New Roman"/>
        </w:rPr>
        <w:t>在八面体配合物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时可作为螯合剂</w:t>
      </w:r>
      <w:r>
        <w:rPr>
          <w:rFonts w:hint="eastAsia" w:ascii="Times New Roman" w:hAnsi="Times New Roman" w:eastAsia="Times New Roman" w:cs="Times New Roman"/>
        </w:rPr>
        <w:t>；</w:t>
      </w:r>
      <w:r>
        <w:rPr>
          <w:rFonts w:hint="eastAsia" w:ascii="Times New Roman" w:hAnsi="Times New Roman" w:eastAsia="FangSong" w:cs="Times New Roman"/>
        </w:rPr>
        <w:t>在平面正方形配合物</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占两个相邻位置也可螯合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同时存在时空间位阻可能影响螯合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3"/>
        </w:numPr>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3"/>
        </w:numPr>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3"/>
        </w:numPr>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3"/>
        </w:numPr>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二</w:t>
            </w:r>
          </w:p>
        </w:tc>
        <w:tc>
          <w:tcPr/>
          <w:p>
            <w:pPr>
              <w:pStyle w:val="Compact"/>
              <w:jc w:val="center"/>
            </w:pPr>
            <w:r>
              <w:rPr>
                <w:rFonts w:hint="eastAsia" w:ascii="Times New Roman" w:hAnsi="Times New Roman" w:eastAsia="SimHei" w:cs="Times New Roman"/>
                <w:b/>
              </w:rPr>
              <w:t xml:space="preserve">三</w:t>
            </w:r>
          </w:p>
        </w:tc>
        <w:tc>
          <w:tcPr/>
          <w:p>
            <w:pPr>
              <w:pStyle w:val="Compact"/>
              <w:jc w:val="center"/>
            </w:pPr>
            <w:r>
              <w:rPr>
                <w:rFonts w:hint="eastAsia" w:ascii="Times New Roman" w:hAnsi="Times New Roman" w:eastAsia="SimHei" w:cs="Times New Roman"/>
                <w:b/>
              </w:rPr>
              <w:t xml:space="preserve">四</w:t>
            </w:r>
          </w:p>
        </w:tc>
        <w:tc>
          <w:tcPr/>
          <w:p>
            <w:pPr>
              <w:pStyle w:val="Compact"/>
              <w:jc w:val="center"/>
            </w:pPr>
            <w:r>
              <w:rPr>
                <w:rFonts w:hint="eastAsia" w:ascii="Times New Roman" w:hAnsi="Times New Roman" w:eastAsia="SimHei" w:cs="Times New Roman"/>
                <w:b/>
              </w:rPr>
              <w:t xml:space="preserve">五</w:t>
            </w:r>
          </w:p>
        </w:tc>
        <w:tc>
          <w:tcPr/>
          <w:p>
            <w:pPr>
              <w:pStyle w:val="Compact"/>
              <w:jc w:val="center"/>
            </w:pPr>
            <w:r>
              <w:rPr>
                <w:rFonts w:hint="eastAsia" w:ascii="Times New Roman" w:hAnsi="Times New Roman" w:eastAsia="SimHei" w:cs="Times New Roman"/>
                <w:b/>
              </w:rPr>
              <w:t xml:space="preserve">六</w:t>
            </w:r>
          </w:p>
        </w:tc>
        <w:tc>
          <w:tcPr/>
          <w:p>
            <w:pPr>
              <w:pStyle w:val="Compact"/>
              <w:jc w:val="center"/>
            </w:pPr>
            <w:r>
              <w:rPr>
                <w:rFonts w:hint="eastAsia" w:ascii="Times New Roman" w:hAnsi="Times New Roman" w:eastAsia="SimHei" w:cs="Times New Roman"/>
                <w:b/>
              </w:rPr>
              <w:t xml:space="preserve">七</w:t>
            </w:r>
          </w:p>
        </w:tc>
        <w:tc>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四硫氰</w:t>
      </w:r>
      <w:r>
        <w:rPr>
          <w:rFonts w:hint="eastAsia" w:ascii="Times New Roman" w:hAnsi="Times New Roman" w:eastAsia="Times New Roman" w:cs="Times New Roman"/>
        </w:rPr>
        <w:t>」</w:t>
      </w:r>
      <w:r>
        <w:rPr>
          <w:rFonts w:hint="eastAsia" w:ascii="Times New Roman" w:hAnsi="Times New Roman" w:eastAsia="FangSong" w:cs="Times New Roman"/>
        </w:rPr>
        <w:t>按本讲表</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硫氰酸根为</w:t>
      </w:r>
      <w:r>
        <w:rPr>
          <w:rFonts w:ascii="Times New Roman" w:hAnsi="Times New Roman" w:eastAsia="Times New Roman" w:cs="Times New Roman"/>
        </w:rPr>
        <w:t xml:space="preserve"> </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原稿误写作</w:t>
      </w:r>
      <w:r>
        <w:rPr>
          <w:rFonts w:ascii="Times New Roman" w:hAnsi="Times New Roman" w:eastAsia="Times New Roman" w:cs="Times New Roman"/>
        </w:rPr>
        <w:t xml:space="preserve"> </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异构名称</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紫色型加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红色型加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亮绿色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顺式异构</w:t>
            </w:r>
          </w:p>
        </w:tc>
        <w:tc>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4"/>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tblPr>
      <w:tblGrid>
        <w:gridCol w:w="1218"/>
        <w:gridCol w:w="1523"/>
        <w:gridCol w:w="1218"/>
        <w:gridCol w:w="1218"/>
        <w:gridCol w:w="1523"/>
        <w:gridCol w:w="1218"/>
      </w:tblGrid>
      <w:tr>
        <w:trPr>
          <w:tblHeader w:val="on"/>
        </w:trPr>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配离子类型</w:t>
            </w:r>
          </w:p>
        </w:tc>
        <w:tc>
          <w:tcPr/>
          <w:p>
            <w:pPr>
              <w:pStyle w:val="Compact"/>
              <w:jc w:val="center"/>
            </w:pPr>
            <w:r>
              <w:rPr>
                <w:rFonts w:hint="eastAsia" w:ascii="Times New Roman" w:hAnsi="Times New Roman" w:eastAsia="SimHei" w:cs="Times New Roman"/>
                <w:b/>
              </w:rPr>
              <w:t xml:space="preserve">异构体数目</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numPr>
          <w:ilvl w:val="0"/>
          <w:numId w:val="1006"/>
        </w:numPr>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6"/>
        </w:numPr>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占相邻位置</w:t>
      </w:r>
      <w:r>
        <w:rPr>
          <w:rFonts w:hint="eastAsia" w:ascii="Times New Roman" w:hAnsi="Times New Roman" w:eastAsia="Times New Roman" w:cs="Times New Roman"/>
        </w:rPr>
        <w:t>（</w:t>
      </w:r>
      <w:r>
        <w:rPr>
          <w:rFonts w:hint="eastAsia" w:ascii="Times New Roman" w:hAnsi="Times New Roman" w:eastAsia="FangSong" w:cs="Times New Roman"/>
        </w:rPr>
        <w:t>一个轴向</w:t>
      </w:r>
      <w:r>
        <w:rPr>
          <w:rFonts w:hint="eastAsia" w:ascii="Times New Roman" w:hAnsi="Times New Roman" w:eastAsia="Times New Roman" w:cs="Times New Roman"/>
        </w:rPr>
        <w:t>、</w:t>
      </w:r>
      <w:r>
        <w:rPr>
          <w:rFonts w:hint="eastAsia" w:ascii="Times New Roman" w:hAnsi="Times New Roman" w:eastAsia="FangSong" w:cs="Times New Roman"/>
        </w:rPr>
        <w:t>一个赤道</w:t>
      </w:r>
      <w:r>
        <w:rPr>
          <w:rFonts w:hint="eastAsia" w:ascii="Times New Roman" w:hAnsi="Times New Roman" w:eastAsia="Times New Roman" w:cs="Times New Roman"/>
        </w:rPr>
        <w:t>），</w:t>
      </w:r>
      <w:r>
        <w:rPr>
          <w:rFonts w:hint="eastAsia" w:ascii="Times New Roman" w:hAnsi="Times New Roman" w:eastAsia="FangSong" w:cs="Times New Roman"/>
        </w:rPr>
        <w:t>互为顺式</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个位置由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p>
    <w:p>
      <w:pPr>
        <w:pStyle w:val="BlockText"/>
        <w:numPr>
          <w:ilvl w:val="0"/>
          <w:numId w:val="1006"/>
        </w:numPr>
      </w:pP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四面体无顺反之分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2000"/>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3600000" cy="268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6607"/>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3600000" cy="24266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1818"/>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3600000" cy="25818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9770"/>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3600000" cy="2729770"/>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7065"/>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3240000" cy="26870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4587"/>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3240000" cy="2744587"/>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11419"/>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3240000" cy="2711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95887"/>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3240000" cy="27958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4625"/>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3240000" cy="2804625"/>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54970"/>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3240000" cy="2754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2331"/>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3240000" cy="28623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9093"/>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3240000" cy="2819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3944"/>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3240000" cy="28139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9939"/>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3240000" cy="2779939"/>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717800" cy="2933700"/>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717800" cy="2933700"/>
                    </a:xfrm>
                    <a:prstGeom prst="rect">
                      <a:avLst/>
                    </a:prstGeom>
                    <a:noFill/>
                    <a:ln w="9525">
                      <a:noFill/>
                      <a:headEnd/>
                      <a:tailEnd/>
                    </a:ln>
                  </pic:spPr>
                </pic:pic>
              </a:graphicData>
            </a:graphic>
          </wp:inline>
        </w:drawing>
      </w:r>
    </w:p>
    <w:p>
      <w:pPr>
        <w:pStyle w:val="BlockText"/>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87600" cy="2527300"/>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387600" cy="2527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374900" cy="25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受螯环约束只能占两个相邻位置</w:t>
      </w:r>
      <w:r>
        <w:rPr>
          <w:rFonts w:hint="eastAsia" w:ascii="Times New Roman" w:hAnsi="Times New Roman" w:eastAsia="Times New Roman" w:cs="Times New Roman"/>
        </w:rPr>
        <w:t>，</w:t>
      </w:r>
      <w:r>
        <w:rPr>
          <w:rFonts w:hint="eastAsia" w:ascii="Times New Roman" w:hAnsi="Times New Roman" w:eastAsia="FangSong" w:cs="Times New Roman"/>
        </w:rPr>
        <w:t>不可能跨对位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无几何异构体</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r>
        <w:rPr>
          <w:rFonts w:hint="eastAsia" w:ascii="Times New Roman" w:hAnsi="Times New Roman" w:eastAsia="FangSong" w:cs="Times New Roman"/>
        </w:rPr>
        <w:t>双齿螯合配体无法形成反位跨环排布</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760"/>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3600000" cy="2514760"/>
                    </a:xfrm>
                    <a:prstGeom prst="rect">
                      <a:avLst/>
                    </a:prstGeom>
                    <a:noFill/>
                    <a:ln w="9525">
                      <a:noFill/>
                      <a:headEnd/>
                      <a:tailEnd/>
                    </a:ln>
                  </pic:spPr>
                </pic:pic>
              </a:graphicData>
            </a:graphic>
          </wp:inline>
        </w:drawing>
      </w:r>
    </w:p>
    <w:p>
      <w:pPr>
        <w:pStyle w:val="Compact"/>
        <w:numPr>
          <w:ilvl w:val="0"/>
          <w:numId w:val="1010"/>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各占一对相邻位置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可处于对位或邻位</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FangSong" w:cs="Times New Roman"/>
          <w:b/>
          <w:bCs/>
        </w:rPr>
        <w:t xml:space="preserve">两种几何异构体</w:t>
      </w:r>
      <w:r>
        <w:rPr>
          <w:rFonts w:hint="eastAsia" w:ascii="Times New Roman" w:hAnsi="Times New Roman" w:eastAsia="Times New Roman" w:cs="Times New Roman"/>
        </w:rPr>
        <w:t>（</w:t>
      </w:r>
      <w:r>
        <w:rPr>
          <w:rFonts w:hint="eastAsia" w:ascii="Times New Roman" w:hAnsi="Times New Roman" w:eastAsia="FangSong" w:cs="Times New Roman"/>
        </w:rPr>
        <w:t>下两图</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 Cl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原稿漏排本小题解答</w:t>
      </w:r>
      <w:r>
        <w:rPr>
          <w:rFonts w:hint="eastAsia" w:ascii="Times New Roman" w:hAnsi="Times New Roman" w:eastAsia="Times New Roman" w:cs="Times New Roman"/>
        </w:rPr>
        <w:t>，</w:t>
      </w:r>
      <w:r>
        <w:rPr>
          <w:rFonts w:hint="eastAsia" w:ascii="Times New Roman" w:hAnsi="Times New Roman" w:eastAsia="FangSong" w:cs="Times New Roman"/>
        </w:rPr>
        <w:t>据教材配图补回</w:t>
      </w:r>
      <w:r>
        <w:rPr>
          <w:rFonts w:hint="eastAsia" w:ascii="Times New Roman" w:hAnsi="Times New Roman" w:eastAsia="Times New Roman" w:cs="Times New Roman"/>
        </w:rPr>
        <w:t>，2026-09-21）。</w:t>
      </w:r>
    </w:p>
    <w:p>
      <w:pPr>
        <w:pStyle w:val="FirstParagraph"/>
        <w:spacing w:before="160" w:after="80"/>
        <w:jc w:val="center"/>
      </w:pPr>
      <w:r>
        <w:rPr>
          <w:rFonts w:ascii="Times New Roman" w:hAnsi="Times New Roman" w:eastAsia="Times New Roman" w:cs="Times New Roman"/>
        </w:rPr>
        <w:drawing>
          <wp:inline>
            <wp:extent cx="3600000" cy="2199247"/>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3600000" cy="21992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9810"/>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3600000" cy="2369810"/>
                    </a:xfrm>
                    <a:prstGeom prst="rect">
                      <a:avLst/>
                    </a:prstGeom>
                    <a:noFill/>
                    <a:ln w="9525">
                      <a:noFill/>
                      <a:headEnd/>
                      <a:tailEnd/>
                    </a:ln>
                  </pic:spPr>
                </pic:pic>
              </a:graphicData>
            </a:graphic>
          </wp:inline>
        </w:drawing>
      </w:r>
    </w:p>
    <w:p>
      <w:pPr>
        <w:pStyle w:val="Compact"/>
        <w:numPr>
          <w:ilvl w:val="0"/>
          <w:numId w:val="101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99159"/>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3600000" cy="2299159"/>
                    </a:xfrm>
                    <a:prstGeom prst="rect">
                      <a:avLst/>
                    </a:prstGeom>
                    <a:noFill/>
                    <a:ln w="9525">
                      <a:noFill/>
                      <a:headEnd/>
                      <a:tailEnd/>
                    </a:ln>
                  </pic:spPr>
                </pic:pic>
              </a:graphicData>
            </a:graphic>
          </wp:inline>
        </w:drawing>
      </w:r>
    </w:p>
    <w:p>
      <w:pPr>
        <w:pStyle w:val="Compact"/>
        <w:numPr>
          <w:ilvl w:val="0"/>
          <w:numId w:val="101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80851"/>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3600000" cy="26808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tblPr>
      <w:tblGrid>
        <w:gridCol w:w="1131"/>
        <w:gridCol w:w="1131"/>
        <w:gridCol w:w="1414"/>
        <w:gridCol w:w="1414"/>
        <w:gridCol w:w="1414"/>
        <w:gridCol w:w="141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中心离子电子排布</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numPr>
          <w:ilvl w:val="0"/>
          <w:numId w:val="1015"/>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7"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d</m:t>
                  </m:r>
                </m:e>
                <m:sub>
                  <m:r>
                    <m:t>z</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rPr>
        <w:t>能量守恒验证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这是因为配位数少且配体与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光谱化学序列的</w:t>
      </w:r>
      <w:r>
        <w:rPr>
          <w:rFonts w:hint="eastAsia" w:ascii="Times New Roman" w:hAnsi="Times New Roman" w:eastAsia="Times New Roman" w:cs="Times New Roman"/>
          <w:b/>
          <w:bCs/>
        </w:rPr>
        <w:t>σ/π</w:t>
      </w:r>
      <w:r>
        <w:rPr>
          <w:rFonts w:hint="eastAsia" w:ascii="Times New Roman" w:hAnsi="Times New Roman" w:eastAsia="FangSong" w:cs="Times New Roman"/>
          <w:b/>
          <w:bCs/>
        </w:rPr>
        <w:t>配位场解释</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rPr>
                      <m:sty m:val="p"/>
                    </m:rPr>
                    <m:t>t</m:t>
                  </m:r>
                </m:e>
                <m:sub>
                  <m:r>
                    <m:rPr>
                      <m:sty m:val="p"/>
                    </m:rPr>
                    <m:t>2</m:t>
                  </m:r>
                  <m:r>
                    <m:rPr>
                      <m:sty m:val="p"/>
                    </m:rPr>
                    <m:t>g</m:t>
                  </m:r>
                </m:sub>
                <m:sup>
                  <m:r>
                    <m:rPr>
                      <m:sty m:val="p"/>
                    </m:rP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4"/>
    <w:bookmarkStart w:id="115"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SimHei" w:cs="Times New Roman"/>
                <w:b/>
              </w:rPr>
              <w:t xml:space="preserve">被吸收光的颜色</w:t>
            </w:r>
          </w:p>
        </w:tc>
        <w:tc>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5"/>
    <w:bookmarkStart w:id="116"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知识补充</w:t>
      </w:r>
      <w:r>
        <w:rPr>
          <w:rFonts w:hint="eastAsia" w:ascii="Times New Roman" w:hAnsi="Times New Roman" w:eastAsia="Times New Roman" w:cs="Times New Roman"/>
          <w:b/>
          <w:bCs/>
        </w:rPr>
        <w:t>：</w:t>
      </w:r>
      <w:r>
        <w:rPr>
          <w:rFonts w:hint="eastAsia" w:ascii="Times New Roman" w:hAnsi="Times New Roman" w:eastAsia="FangSong" w:cs="Times New Roman"/>
          <w:b/>
          <w:bCs/>
        </w:rPr>
        <w:t>反位效应简介</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p>
        </w:tc>
        <w:tc>
          <w:tcPr/>
          <w:p>
            <w:pPr>
              <w:pStyle w:val="Compact"/>
              <w:jc w:val="center"/>
            </w:pPr>
          </w:p>
        </w:tc>
      </w:tr>
    </w:tbl>
    <w:p>
      <w:pPr>
        <w:pStyle w:val="BlockText"/>
        <w:spacing w:before="120"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Co(NH</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t xml:space="preserve">​</w:t>
            </w:r>
          </w:p>
        </w:tc>
        <w:tc>
          <w:tcPr/>
          <w:p>
            <w:pPr>
              <w:pStyle w:val="Compact"/>
              <w:jc w:val="center"/>
            </w:pP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r>
      <w:tr>
        <w:tc>
          <w:tcPr/>
          <w:p>
            <w:pPr>
              <w:pStyle w:val="Compact"/>
              <w:jc w:val="center"/>
            </w:pPr>
          </w:p>
        </w:tc>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(μB)</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pStyle w:val="BlockText"/>
        <w:spacing w:before="1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弱场</w:t>
            </w:r>
            <w:r>
              <w:rPr>
                <w:rFonts w:hint="eastAsia" w:ascii="Times New Roman" w:hAnsi="Times New Roman" w:eastAsia="Times New Roman" w:cs="Times New Roman"/>
                <w:b/>
              </w:rPr>
              <w:t>（</w:t>
            </w:r>
            <w:r>
              <w:rPr>
                <w:rFonts w:hint="eastAsia" w:ascii="Times New Roman" w:hAnsi="Times New Roman" w:eastAsia="SimHei" w:cs="Times New Roman"/>
                <w:b/>
              </w:rPr>
              <w:t>高自旋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c>
          <w:tcPr/>
          <w:p>
            <w:pPr>
              <w:pStyle w:val="Compact"/>
              <w:jc w:val="center"/>
            </w:pPr>
            <w:r>
              <w:rPr>
                <w:rFonts w:hint="eastAsia" w:ascii="Times New Roman" w:hAnsi="Times New Roman" w:eastAsia="SimHei" w:cs="Times New Roman"/>
                <w:b/>
              </w:rPr>
              <w:t>强场</w:t>
            </w:r>
            <w:r>
              <w:rPr>
                <w:rFonts w:hint="eastAsia" w:ascii="Times New Roman" w:hAnsi="Times New Roman" w:eastAsia="Times New Roman" w:cs="Times New Roman"/>
                <w:b/>
              </w:rPr>
              <w:t>（</w:t>
            </w:r>
            <w:r>
              <w:rPr>
                <w:rFonts w:hint="eastAsia" w:ascii="Times New Roman" w:hAnsi="Times New Roman" w:eastAsia="SimHei" w:cs="Times New Roman"/>
                <w:b/>
              </w:rPr>
              <w:t>低自旋</w:t>
            </w:r>
            <w:r>
              <w:rPr>
                <w:rFonts w:hint="eastAsia" w:ascii="Times New Roman" w:hAnsi="Times New Roman" w:eastAsia="Times New Roman" w:cs="Times New Roman"/>
                <w:b/>
              </w:rPr>
              <w:t>）</w:t>
            </w:r>
            <w:r>
              <w:rPr>
                <w:rFonts w:hint="eastAsia" w:ascii="Times New Roman" w:hAnsi="Times New Roman" w:eastAsia="SimHei" w:cs="Times New Roman"/>
                <w:b/>
              </w:rPr>
              <w:t>未成对电子数</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w:r>
              <w:rPr>
                <w:rFonts w:hint="eastAsia" w:ascii="Times New Roman" w:hAnsi="Times New Roman" w:eastAsia="Times New Roman" w:cs="Times New Roman"/>
              </w:rPr>
              <w:t xml:space="preserve">4（</w:t>
            </w: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2（</w:t>
            </w:r>
            <m:oMath>
              <m:sSubSup>
                <m:e>
                  <m:r>
                    <m:rPr>
                      <m:sty m:val="p"/>
                    </m:rPr>
                    <m:t>t</m:t>
                  </m:r>
                </m:e>
                <m:sub>
                  <m:r>
                    <m:rPr>
                      <m:sty m:val="p"/>
                    </m:rPr>
                    <m:t>2</m:t>
                  </m:r>
                  <m:r>
                    <m:rPr>
                      <m:sty m:val="p"/>
                    </m:rPr>
                    <m:t>g</m:t>
                  </m:r>
                </m:sub>
                <m:sup>
                  <m:r>
                    <m:rPr>
                      <m:sty m:val="p"/>
                    </m:rPr>
                    <m:t>4</m:t>
                  </m:r>
                </m:sup>
              </m:sSub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Times New Roman" w:cs="Times New Roman"/>
              </w:rPr>
              <w:t xml:space="preserve">5（</w:t>
            </w: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1（</w:t>
            </w:r>
            <m:oMath>
              <m:sSubSup>
                <m:e>
                  <m:r>
                    <m:rPr>
                      <m:sty m:val="p"/>
                    </m:rPr>
                    <m:t>t</m:t>
                  </m:r>
                </m:e>
                <m:sub>
                  <m:r>
                    <m:rPr>
                      <m:sty m:val="p"/>
                    </m:rPr>
                    <m:t>2</m:t>
                  </m:r>
                  <m:r>
                    <m:rPr>
                      <m:sty m:val="p"/>
                    </m:rPr>
                    <m:t>g</m:t>
                  </m:r>
                </m:sub>
                <m:sup>
                  <m:r>
                    <m:rPr>
                      <m:sty m:val="p"/>
                    </m:rPr>
                    <m:t>5</m:t>
                  </m:r>
                </m:sup>
              </m:sSub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 xml:space="preserve">4（</w:t>
            </w: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Times New Roman" w:cs="Times New Roman"/>
              </w:rPr>
              <w:t xml:space="preserve">4（</w:t>
            </w: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1（</w:t>
            </w: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p>
        </w:tc>
      </w:tr>
    </w:tbl>
    <w:p>
      <w:pPr>
        <w:spacing w:before="160" w:after="80"/>
      </w:pPr>
      <w:r>
        <w:pict>
          <v:rect style="width:0;height:1.5pt" o:hralign="center" o:hrstd="t" o:hr="t"/>
        </w:pict>
      </w:r>
    </w:p>
    <w:bookmarkEnd w:id="116"/>
    <w:bookmarkEnd w:id="117"/>
    <w:bookmarkStart w:id="118"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23"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19"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19"/>
    <w:bookmarkStart w:id="120"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0"/>
    <w:bookmarkStart w:id="121"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1"/>
    <w:bookmarkStart w:id="122"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End w:id="123"/>
    <w:bookmarkStart w:id="124" w:name="习题与思考"/>
    <w:p>
      <w:pPr>
        <w:pStyle w:val="Heading2"/>
        <w:spacing w:before="280" w:after="120"/>
      </w:pPr>
      <w:r>
        <w:rPr>
          <w:rFonts w:hint="eastAsia" w:ascii="Times New Roman" w:hAnsi="Times New Roman" w:eastAsia="SimHei" w:cs="Times New Roman"/>
        </w:rPr>
        <w:t xml:space="preserve">习题与思考</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7" w:name="方法总结"/>
    <w:p>
      <w:pPr>
        <w:pStyle w:val="Heading2"/>
        <w:spacing w:before="280" w:after="120"/>
      </w:pPr>
      <w:r>
        <w:rPr>
          <w:rFonts w:hint="eastAsia" w:ascii="Times New Roman" w:hAnsi="Times New Roman" w:eastAsia="SimHei" w:cs="Times New Roman"/>
        </w:rPr>
        <w:t xml:space="preserve">方法总结</w:t>
      </w:r>
    </w:p>
    <w:bookmarkStart w:id="125"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x</m:t>
                  </m:r>
                </m:sup>
              </m:sSubSup>
              <m:sSubSup>
                <m:e>
                  <m:r>
                    <m:rPr>
                      <m:sty m:val="p"/>
                    </m:rPr>
                    <m:t>e</m:t>
                  </m:r>
                </m:e>
                <m:sub>
                  <m:r>
                    <m:rPr>
                      <m:sty m:val="p"/>
                    </m:rPr>
                    <m:t>g</m:t>
                  </m:r>
                </m:sub>
                <m:sup>
                  <m:r>
                    <m:rPr>
                      <m:sty m:val="p"/>
                    </m:rP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5"/>
    <w:bookmarkStart w:id="126"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6"/>
    <w:bookmarkEnd w:id="127"/>
    <w:bookmarkEnd w:id="12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2026-09-20T18:02:35Z</dcterms:created>
  <dcterms:modified xsi:type="dcterms:W3CDTF">2026-09-20T18:02:35Z</dcterms:modified>
</cp:coreProperties>
</file>

<file path=docProps/custom.xml><?xml version="1.0" encoding="utf-8"?>
<Properties xmlns="http://schemas.openxmlformats.org/officeDocument/2006/custom-properties" xmlns:vt="http://schemas.openxmlformats.org/officeDocument/2006/docPropsVTypes"/>
</file>