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44"/>
          <w:szCs w:val="44"/>
        </w:rPr>
        <w:t>未央化学竞赛课程计划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32"/>
          <w:szCs w:val="32"/>
        </w:rPr>
        <w:t>（初二至高二）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4"/>
          <w:szCs w:val="24"/>
        </w:rPr>
        <w:t>适用对象：未央班（初二 — 高二，四年制）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4"/>
          <w:szCs w:val="24"/>
        </w:rPr>
        <w:t>课程起止：初二寒假 — 高二暑假（初赛前）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4"/>
          <w:szCs w:val="24"/>
        </w:rPr>
        <w:t>校内 458 次 ｜ 外出 50 次 ｜ 合计 508 次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4"/>
          <w:szCs w:val="24"/>
        </w:rPr>
        <w:t>第一轮 化学原理与结构 → 第二轮 元素与分析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4"/>
          <w:szCs w:val="24"/>
        </w:rPr>
        <w:t>第三轮 有机与深化 → 第四轮 复习与真题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0"/>
          <w:szCs w:val="20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4"/>
          <w:szCs w:val="24"/>
        </w:rPr>
        <w:t>编制：备课线 ｜ 2026 年 9 月</w:t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次数口径：本计划以「次」为排课单位，1 次 ＝ 一次课（4 h，含课间）。全表自初二寒假起算，至高二暑假（初赛前）止。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日期口径：学年锚点 初二＝2026 — 2027 学年；学期起止按 9 月 1 日开学、1 月下旬放寒假、2 月下旬开学、7 月上旬放假；法定假期（清明／五一／端午／中秋／国庆／元旦）一律排课，加课周不再重复排常规课。日期格式「年.月.日 — 月.日」，同年省略结束年份；起止均为实际上课日的首末。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1.1 时间与次数总表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943"/>
        <w:gridCol w:w="1492"/>
        <w:gridCol w:w="1669"/>
        <w:gridCol w:w="1561"/>
        <w:gridCol w:w="2726"/>
      </w:tblGrid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排课形式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次数（校内＋外出）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课程模块（括号内为次数）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初二寒假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2027.1.23 — 2.3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第一轮·化学基础知识（16）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物理化学·气体和溶液（6）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化学热力学初步（2，开局）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2027.2.24 — 7.3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化学反应速率和化学平衡（12）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结构化学·原子结构（7）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元素周期律（2）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分子结构（12）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相平衡与胶体（2）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表面与界面化学（2，开局）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初二暑假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2027.7.15 — 7.26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表面与界面化学（余 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晶体结构（9）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有机分子结构初探（2）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2027.9.1 — 2028.1.5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第二轮·元素化学：卤族元素（6）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 族元素（2，开局）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初三寒假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2028.1.22 — 2.9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元素化学：ⅠA、ⅡA、0 族元素（余 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镧系与锕系元素（2）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铁系铂系元素（2，开局）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2028.2.23 — 6.24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元素化学：铁系铂系元素（余 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元素推断与情境化综合训练（17）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第二轮·分析化学：数据处理（3）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重量分析与分光光度法（4）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初三暑假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2028.7.13 — 7.24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第三轮·有机化学：烷烃（5）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卤代烷（6）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2028.9.2 — 2029.1.3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有机化学：烯烃（6）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醛酮（7，开局）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高一寒假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2029.1.20 — 1.31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有机化学：醛酮（余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杂环化合物（2，开局）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2029.2.28 — 7.11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有机化学：杂环化合物（余 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有机分离与纯化（3）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2029.7.19 — 7.30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第三轮·结构化学与物理化学深化：晶体结构深化（5）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热力学与平衡深化（3）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2029.9.1 — 2030.1.2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第四轮·一轮复习：化学原理与结构（40）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2030.1.19 — 1.23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5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10＋10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一轮查漏·结构化学专题深化（10）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外出学习（10）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2030.2.27 — 7.6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第四轮·一轮复习：元素、分析与有机（26）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真题分类训练（14）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2030.7.18 — 7.29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24＋40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真题限时模拟与考前收束（24）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外出综合培训（40）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458＋50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详见 §1.4 核算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1.2 学期内排课口径（每学期约 40 次）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717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规则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 ＋ 周六 1 次，即每周 2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节假日加课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学期内法定假期全部排课，按天计、每天 1 次：中秋 2 天、国庆 3 天、清明 1 天、五一 2 天、端午 1 天、元旦 1 天；加课所在周不再重复排常规 2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期中 1 次、期末 1 次（各占一次课，见 §3.1）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核算式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 × 2 ＋ 假期加课 ＋ 学期测验 ≈ 40 次</w:t>
            </w:r>
          </w:p>
        </w:tc>
      </w:tr>
    </w:tbl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180"/>
        <w:gridCol w:w="1610"/>
        <w:gridCol w:w="2961"/>
        <w:gridCol w:w="1020"/>
        <w:gridCol w:w="620"/>
      </w:tblGrid>
      <w:tr>
        <w:trPr>
          <w:cantSplit/>
        </w:trPr>
        <w:tc>
          <w:tcPr>
            <w:tcW w:type="dxa" w:w="21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学期类型</w:t>
            </w:r>
          </w:p>
        </w:tc>
        <w:tc>
          <w:tcPr>
            <w:tcW w:type="dxa" w:w="16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29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</w:tr>
      <w:tr>
        <w:trPr>
          <w:cantSplit/>
        </w:trPr>
        <w:tc>
          <w:tcPr>
            <w:tcW w:type="dxa" w:w="21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秋季学期（约 20 周）</w:t>
            </w:r>
          </w:p>
        </w:tc>
        <w:tc>
          <w:tcPr>
            <w:tcW w:type="dxa" w:w="16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 周 × 2 ＝ 32</w:t>
            </w:r>
          </w:p>
        </w:tc>
        <w:tc>
          <w:tcPr>
            <w:tcW w:type="dxa" w:w="29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＋ 国庆 3 ＝ 5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39</w:t>
            </w:r>
          </w:p>
        </w:tc>
      </w:tr>
      <w:tr>
        <w:trPr>
          <w:cantSplit/>
        </w:trPr>
        <w:tc>
          <w:tcPr>
            <w:tcW w:type="dxa" w:w="21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春季学期（约 20 周）</w:t>
            </w:r>
          </w:p>
        </w:tc>
        <w:tc>
          <w:tcPr>
            <w:tcW w:type="dxa" w:w="16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 周 × 2 ＝ 34</w:t>
            </w:r>
          </w:p>
        </w:tc>
        <w:tc>
          <w:tcPr>
            <w:tcW w:type="dxa" w:w="29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＋ 五一 2 ＋ 端午 1 ＝ 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秋季学期余下 2 周为月考周与校历假周，不排常规课；两类学期均落在「40 次左右」区间内。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1.3 假期集训口径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93"/>
        <w:gridCol w:w="2950"/>
        <w:gridCol w:w="2948"/>
      </w:tblGrid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排法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初二／初三／高一 寒假 · 暑假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＝ 集中 12 天 × 2 次（上、下午各 1 次）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春节所在周留 3–5 天休整，假期前后分段完成</w:t>
            </w:r>
          </w:p>
        </w:tc>
      </w:tr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10 次（集中 5 天 × 2 次）＋ 外出 10 次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外出以结构化学为主，校内做同主题深化与一轮查漏</w:t>
            </w:r>
          </w:p>
        </w:tc>
      </w:tr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0 次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不安排外出，整块留给第三轮深化收口</w:t>
            </w:r>
          </w:p>
        </w:tc>
      </w:tr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40 次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校内做真题限时模拟与考前收束，外出为综合集训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1.4 总量核算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7541"/>
        <w:gridCol w:w="850"/>
      </w:tblGrid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校内合计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外出合计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508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其中：新课与章节训练（§二 各模块「次数」之和）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344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其中：第四轮复习与真题（§3.2）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344 ＋ 114 ＝ 458，与校内合计逐项对齐。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「次数」列口径：该章在课表中的全部排课次数（新授课 ＋ 本章的复习与习题安排）。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「起止日期」列口径：该章第一次课至最后一次课的实际上课日，写作「月.日—月.日」（年份见 §1.1 对应期次）；跨期次的章按首末合并计算，跨年的标注「（跨年）」。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六个大章的章末收束、三轮的轮末真题专项、学期测验（共 28 次，见 §3.1）按发生期次并入对应章的次数内，不另加。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分配依据：以该章「节」数为基准，乘所在模块的覆盖系数，再对工具章、综合训练章上浮、对随堂小章下调，最后调平到该模块的锚定总量。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两条硬约束：① 各模块合计 ＝ §1.1 各期次括号次数之和；② 各章「次数」≥ ⌈节数 ÷ 2⌉（保证每节至少半次课）。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各模块（次数 / 节数 / 覆盖系数）：化学基础知识 16 / 16 / 1.00｜结构化学 56 / 47 / 1.19｜物理化学 40 / 39 / 1.03｜分析化学 18 / 10 / 1.80｜无机化学 86 / 65 / 1.32｜有机化学 128 / 124 / 1.03，合计 344 次，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即第一～三轮的全部排课次数（§1.4）。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数学工具条线为横切预备知识，不占独立次数，故记「—」。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各章所属期次与承接关系见 §1.1「课程模块」列的括号内次数。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1.化学基础知识（2027.1.23 — 1.30）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1 讲（函数图像与线性化）、第 2 讲（对数与指数）、第 6 讲（量纲数量级与估算）——随计算规范与溶液/酸碱章节首课嵌入，见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015"/>
        <w:gridCol w:w="1874"/>
        <w:gridCol w:w="2046"/>
        <w:gridCol w:w="2160"/>
        <w:gridCol w:w="736"/>
        <w:gridCol w:w="560"/>
      </w:tblGrid>
      <w:tr>
        <w:trPr>
          <w:cantSplit/>
        </w:trPr>
        <w:tc>
          <w:tcPr>
            <w:tcW w:type="dxa" w:w="101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7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1.23—1.24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1.25—1.25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1.26—1.26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1.27—1.28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1.29—1.29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1.30—1.30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2.结构化学（2027.4.14 — 2029.7.27）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分 2 段：第一轮初步 2027.4.14 — 7.26｜第三轮深化 2029.7.19 — 7.27（其余为两段之间的间隔期）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57"/>
        <w:gridCol w:w="2034"/>
        <w:gridCol w:w="2021"/>
        <w:gridCol w:w="1879"/>
        <w:gridCol w:w="640"/>
        <w:gridCol w:w="560"/>
      </w:tblGrid>
      <w:tr>
        <w:trPr>
          <w:cantSplit/>
        </w:trPr>
        <w:tc>
          <w:tcPr>
            <w:tcW w:type="dxa" w:w="12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4.14—5.2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5.5—5.8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5.12—6.19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7.18—7.22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7.23—7.25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7.26—7.26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7.19—7.21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7.21—7.23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7.23—7.25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7.25—7.27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3.物理化学（2027.1.31 — 2029.7.30）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分 2 段：第一轮初步 2027.1.31 — 7.18｜第三轮深化 2029.7.28 — 7.30（其余为两段之间的间隔期）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3 讲（导数与微分）、第 4 讲（积分与分离变量）、第 5 讲（偏导与全微分）——随动力学与热力学章节首课嵌入，见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78"/>
        <w:gridCol w:w="1912"/>
        <w:gridCol w:w="1967"/>
        <w:gridCol w:w="1845"/>
        <w:gridCol w:w="629"/>
        <w:gridCol w:w="560"/>
      </w:tblGrid>
      <w:tr>
        <w:trPr>
          <w:cantSplit/>
        </w:trPr>
        <w:tc>
          <w:tcPr>
            <w:tcW w:type="dxa" w:w="14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1.31—2.2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2.3—3.3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3.6—4.10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6.23—6.26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6.30—7.15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7.15—7.16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7.17—7.18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7.28—7.29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7.29—7.30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4.分析化学（2028.5.2 — 6.24）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63"/>
        <w:gridCol w:w="1726"/>
        <w:gridCol w:w="1974"/>
        <w:gridCol w:w="1990"/>
        <w:gridCol w:w="678"/>
        <w:gridCol w:w="560"/>
      </w:tblGrid>
      <w:tr>
        <w:trPr>
          <w:cantSplit/>
        </w:trPr>
        <w:tc>
          <w:tcPr>
            <w:tcW w:type="dxa" w:w="14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6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199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5.2—5.6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199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5.10—6.10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199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6.14—6.24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5.无机化学（2027.9.1 — 2028.5.1）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638"/>
        <w:gridCol w:w="1763"/>
        <w:gridCol w:w="1842"/>
        <w:gridCol w:w="1888"/>
        <w:gridCol w:w="700"/>
        <w:gridCol w:w="560"/>
      </w:tblGrid>
      <w:tr>
        <w:trPr>
          <w:cantSplit/>
        </w:trPr>
        <w:tc>
          <w:tcPr>
            <w:tcW w:type="dxa" w:w="163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8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7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9.1—9.16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9.18—10.6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10.9—11.10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11.13—12.1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12.4—12.29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1.1—1.24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1.24—2.2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2.2—2.4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2.4—2.7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2.9—3.8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2.8—2.8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188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70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3.11—5.1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</w:t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3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18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188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0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6.有机化学（2028.7.13 — 2029.7.11）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43"/>
        <w:gridCol w:w="1726"/>
        <w:gridCol w:w="1941"/>
        <w:gridCol w:w="1664"/>
        <w:gridCol w:w="1057"/>
        <w:gridCol w:w="560"/>
      </w:tblGrid>
      <w:tr>
        <w:trPr>
          <w:cantSplit/>
        </w:trPr>
        <w:tc>
          <w:tcPr>
            <w:tcW w:type="dxa" w:w="14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1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7.13—7.15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7.15—7.17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7.18—7.21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7.22—7.24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9.2—9.20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9.23—10.2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10.3—11.4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11.8—11.29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12.2—12.13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12.16—1.21（跨年）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1.21—1.24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1.24—1.27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1.27—1.30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1.31—3.10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3.14—3.24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3.28—4.7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4.11—4.18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4.21—5.1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5.2—5.12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5.16—6.2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6.6—6.16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6.20—6.30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7.4—7.11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7.数学工具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定位：横切全模块的预备知识条线，不占独立次数——6 讲分散嵌入对应模块首课（映射见节末「嵌入落点映射」，各模块节标题下有嵌入注记）。讲义已建成：04-课件/学生讲义/_数学工具/（含参考答案）。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第 7 讲《组合概率与 Stirling 近似》不安排嵌入（初赛基本不考），讲义仍留存于该目录，需要时可直接恢复。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10"/>
        <w:gridCol w:w="1565"/>
        <w:gridCol w:w="2656"/>
        <w:gridCol w:w="1410"/>
        <w:gridCol w:w="790"/>
        <w:gridCol w:w="560"/>
      </w:tblGrid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函数图像与线性化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图像判读与线性化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函数图像绘制与变换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半对数与双对数图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线性化判据（Arrhenius 图、一级/二级动力学直线化）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对数与指数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指数与对数运算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指数运算法则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对数换底与性质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与 pK 标度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 指数与衰减增长模型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导数与微分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导数与极值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导数定义与几何意义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基本求导法则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极值与拐点（热力学平衡判据、速率极值）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微分近似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积分与分离变量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积分与速率方程求解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不定积分与定积分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换元与分部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分离变量法解一级/二级速率方程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 两点式推导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偏导与全微分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偏导与状态函数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偏导数记号与运算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全微分与状态函数性质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循环关系与 Maxwell 关系式入口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量纲数量级与估算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量纲分析与估算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量纲齐次性检验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单位换算规范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数量级估算与 Fermi 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有效数字衔接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嵌入落点映射（分散嵌入，不占独立次数）：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035"/>
        <w:gridCol w:w="1909"/>
        <w:gridCol w:w="1664"/>
        <w:gridCol w:w="2783"/>
      </w:tblGrid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讲次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嵌入模块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时机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服务内容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1 讲 函数图像与线性化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随计算规范/溶液章节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图像法解题；第二轮分析化学滴定曲线复用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2 讲 对数与指数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随酸碱/平衡入门前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标度、Ka/Kb 计算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3 讲 导数与微分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随动力学/热力学首课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速率定义、平衡极值判据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4 讲 积分与分离变量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随动力学积分式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一级/二级速率方程积分、Arrhenius 两点式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5 讲 偏导与全微分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物理化学（第三轮深化）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随状态函数/化学势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Maxwell 关系式、循环关系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6 讲 量纲数量级与估算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随计算规范章节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量纲检验、估算能力（全模块通用）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三、复习、测验与真题训练安排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§二 各模块的「次数」已经包含该章的复习与习题安排（每章 1–2 次），不再单列「复习课／习题课」的课型层级。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本节只列不属于单个章节的整体安排。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3.1 整体安排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20"/>
        <w:gridCol w:w="3106"/>
        <w:gridCol w:w="760"/>
        <w:gridCol w:w="3105"/>
      </w:tblGrid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落点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章末收束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六个新课大章结束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每章 1 次复习 ＋ 1 次习题：知识网络与本章考试地图、题型归纳与真题实战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轮末真题专项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第一、二、三轮结束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每轮 2 次：1 次整轮综合复习 ＋ 1 次真题整卷限时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初二下、初三上、初三下、高一上、高一下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期中、期末各 1 次限时测验，覆盖截至当时的全部内容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小计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28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已含在第一～三轮的 344 次之内，按发生期次计入对应章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章末收束的 12 份课件已建成，落在 04-课件/复习课/ 与 04-课件/习题课/（2026-09-16 实测）。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复习课须含「本章考试地图」、习题课须含「真题实战与命题趋势专项」，标准见 六大新课大章节总表 §11.4。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3.2 第四轮（高二）安排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850"/>
        <w:gridCol w:w="632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构成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一轮复习·化学原理与结构 30 次（原理 16 ＋ 结构 14）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双周整卷限时 10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结构化学专题深化与一轮查漏：晶体与配位场专项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波谱与对称性专项 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3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一轮复习·元素、分析与有机 26 次（元素 10 ＋ 分析 4 ＋ 有机 12）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 14 次（元素推断 4 ＋ 结构 4 ＋ 有机机理 3 ＋ 物化计算 3）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整卷限时模拟 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命题拆解与时间分配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考前状态调整与查漏 4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另有外出 50 次（高二寒假 10 ＋ 高二暑假 40），不计入校内 458 次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