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(III)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[AuCl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周围四个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右侧另一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配离子同样呈平面正方形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共同支撑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Au(III)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饱和甘汞电极结构示意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Hg/Hg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饱和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KCl、KCl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晶体与多孔隔膜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用于连接甘汞电极构造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不替代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Hg—Hg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6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1" w:name="九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咔咯环与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咔咯大环配体稳定非常规氧化态</w:t>
      </w:r>
      <w:r>
        <w:rPr>
          <w:rFonts w:hint="eastAsia" w:ascii="Times New Roman" w:hAnsi="Times New Roman" w:eastAsia="Times New Roman" w:cs="Times New Roman"/>
        </w:rPr>
        <w:t>；B/C/D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配合物间转化与价态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常温不存在</w:t>
      </w:r>
      <w:r>
        <w:rPr>
          <w:rFonts w:hint="eastAsia" w:ascii="Times New Roman" w:hAnsi="Times New Roman" w:eastAsia="Times New Roman" w:cs="Times New Roman"/>
        </w:rPr>
        <w:t>）；+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(~2070)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2026-09-24T02:09:50Z</dcterms:created>
  <dcterms:modified xsi:type="dcterms:W3CDTF">2026-09-24T02:09:50Z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