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推断四步法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五类信号识别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排除法与硬约束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推理链书写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真题实战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807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80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1289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图中示例的具体归层以正文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§2.2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表与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§8.1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速查为准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+SCN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焰色黄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在本讲体系列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唯一性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图中置于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系早期版本画法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阅读时以正文为准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5757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57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2077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20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8）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334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3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8966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8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0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bookmarkEnd w:id="68"/>
    <w:bookmarkStart w:id="69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1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6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2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另取该溶液加过量氨水得白色沉淀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再溶解为无色溶液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4"/>
    <w:bookmarkStart w:id="75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焰色黄最强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按本讲信号优先级四层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），P1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唯一性信号直接锁定元素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Na），</w:t>
      </w:r>
      <w:r>
        <w:rPr>
          <w:rFonts w:hint="eastAsia" w:ascii="Times New Roman" w:hAnsi="Times New Roman" w:eastAsia="FangSong" w:cs="Times New Roman"/>
        </w:rPr>
        <w:t>只需钴玻璃排除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掩盖即完成定性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P2 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可靠性次之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及其氧化产物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7"/>
    <w:bookmarkEnd w:id="7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2026-09-24T07:26:44Z</dcterms:created>
  <dcterms:modified xsi:type="dcterms:W3CDTF">2026-09-24T07:26:44Z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