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热力学初步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状态函数与过程量</w:t>
            </w:r>
          </w:p>
        </w:tc>
        <w:tc>
          <w:tcPr/>
          <w:p>
            <w:pPr>
              <w:pStyle w:val="Compact"/>
              <w:jc w:val="cente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热化学与反应焓变</w:t>
            </w:r>
          </w:p>
        </w:tc>
        <w:tc>
          <w:tcPr/>
          <w:p>
            <w:pPr>
              <w:pStyle w:val="Compact"/>
              <w:jc w:val="cente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熵与标准熵</w:t>
            </w:r>
          </w:p>
        </w:tc>
        <w:tc>
          <w:tcPr/>
          <w:p>
            <w:pPr>
              <w:pStyle w:val="Compact"/>
              <w:jc w:val="cente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吉布斯自由能与自发性</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自由能与平衡常数</w:t>
            </w:r>
            <w:r>
              <w:rPr>
                <w:rFonts w:hint="eastAsia" w:ascii="Times New Roman" w:hAnsi="Times New Roman" w:eastAsia="Times New Roman" w:cs="Times New Roman"/>
              </w:rPr>
              <w:t>、</w:t>
            </w:r>
            <w:r>
              <w:rPr>
                <w:rFonts w:hint="eastAsia" w:ascii="Times New Roman" w:hAnsi="Times New Roman" w:eastAsia="FangSong" w:cs="Times New Roman"/>
              </w:rPr>
              <w:t>电化学桥接</w:t>
            </w:r>
          </w:p>
        </w:tc>
        <w:tc>
          <w:tcPr/>
          <w:p>
            <w:pPr>
              <w:pStyle w:val="Compact"/>
              <w:jc w:val="cente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建立热力学与化学平衡的桥梁</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tc>
      </w:tr>
    </w:tbl>
    <w:p>
      <w:pPr>
        <w:spacing w:before="160" w:after="80"/>
      </w:pPr>
      <w:r>
        <w:pict>
          <v:rect style="width:0;height:1.5pt" o:hralign="center" o:hrstd="t" o:hr="t"/>
        </w:pict>
      </w:r>
    </w:p>
    <w:bookmarkEnd w:id="9"/>
    <w:bookmarkStart w:id="10"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2"/>
        </w:numPr>
        <w:ind w:firstLine="420"/>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4775"/>
            <wp:effectExtent b="0" l="0" r="0" t="0"/>
            <wp:docPr descr=""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2667000" cy="834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2667000" cy="1343837"/>
            <wp:effectExtent b="0" l="0" r="0" t="0"/>
            <wp:docPr descr=""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2667000" cy="13438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5814"/>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2667000" cy="19458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p>
      <w:pPr>
        <w:pStyle w:val="BodyText"/>
        <w:spacing w:before="160" w:after="80"/>
        <w:jc w:val="center"/>
      </w:pPr>
      <w:r>
        <w:rPr>
          <w:rFonts w:ascii="Times New Roman" w:hAnsi="Times New Roman" w:eastAsia="Times New Roman" w:cs="Times New Roman"/>
        </w:rPr>
        <w:drawing>
          <wp:inline>
            <wp:extent cx="2667000" cy="2447114"/>
            <wp:effectExtent b="0" l="0" r="0" t="0"/>
            <wp:docPr descr=""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2667000" cy="24471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667000" cy="2324449"/>
            <wp:effectExtent b="0" l="0" r="0" t="0"/>
            <wp:docPr descr=""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667000" cy="23244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3"/>
        </w:numPr>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2667000" cy="664377"/>
            <wp:effectExtent b="0" l="0" r="0" t="0"/>
            <wp:docPr descr=""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2667000" cy="664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8813"/>
            <wp:effectExtent b="0" l="0" r="0" t="0"/>
            <wp:docPr descr=""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2667000" cy="6188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p>
      <w:pPr>
        <w:pStyle w:val="BodyText"/>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 xml:space="preserve">先按化学方程式把系数配平</w:t>
      </w:r>
    </w:p>
    <w:p>
      <w:pPr>
        <w:pStyle w:val="Compact"/>
        <w:numPr>
          <w:ilvl w:val="0"/>
          <w:numId w:val="1005"/>
        </w:numPr>
        <w:ind w:firstLine="420"/>
      </w:pPr>
      <w:r>
        <w:rPr>
          <w:rFonts w:hint="eastAsia" w:ascii="Times New Roman" w:hAnsi="Times New Roman" w:eastAsia="FangSong" w:cs="Times New Roman"/>
        </w:rPr>
        <w:t xml:space="preserve">再逐项乘系数求和</w:t>
      </w:r>
    </w:p>
    <w:p>
      <w:pPr>
        <w:pStyle w:val="Compact"/>
        <w:numPr>
          <w:ilvl w:val="0"/>
          <w:numId w:val="1005"/>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p>
      <w:pPr>
        <w:pStyle w:val="BodyText"/>
        <w:ind w:firstLine="42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6"/>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6"/>
        </w:numPr>
        <w:ind w:firstLine="420"/>
      </w:pPr>
      <w:r>
        <w:rPr>
          <w:rFonts w:hint="eastAsia" w:ascii="Times New Roman" w:hAnsi="Times New Roman" w:eastAsia="FangSong" w:cs="Times New Roman"/>
        </w:rPr>
        <w:t xml:space="preserve">估算标准压力下自发进行的最低温度</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ind w:firstLine="420"/>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ind w:firstLine="420"/>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odyText"/>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09"/>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4" w:name="知识网络与方法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核心量或关系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odyText"/>
        <w:spacing w:before="120"/>
        <w:ind w:firstLine="4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0"/>
        </w:numPr>
        <w:ind w:firstLine="420"/>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0"/>
        </w:numPr>
        <w:ind w:firstLine="420"/>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2200"/>
        <w:gridCol w:w="1760"/>
        <w:gridCol w:w="1760"/>
      </w:tblGrid>
      <w:tr>
        <w:trPr>
          <w:tblHeader w:val="on"/>
        </w:trPr>
        <w:tc>
          <w:tcPr>
            <w:tcBorders>
              <w:bottom w:val="single" w:sz="6" w:space="0" w:color="333333"/>
            </w:tcBorders>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自发性结论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高温下熵项的有利贡献超过焓项的不利影响</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odyText"/>
        <w:spacing w:before="120"/>
        <w:ind w:firstLine="4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Start w:id="73" w:name="本讲速查"/>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3"/>
    <w:bookmarkEnd w:id="74"/>
    <w:bookmarkStart w:id="75"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本组题目全部取自题库</w:t>
      </w:r>
      <w:r>
        <w:rPr>
          <w:rFonts w:hint="eastAsia" w:ascii="Times New Roman" w:hAnsi="Times New Roman" w:eastAsia="Times New Roman" w:cs="Times New Roman"/>
        </w:rPr>
        <w:t>（</w:t>
      </w:r>
      <w:r>
        <w:rPr>
          <w:rFonts w:hint="eastAsia" w:ascii="Times New Roman" w:hAnsi="Times New Roman" w:eastAsia="FangSong" w:cs="Times New Roman"/>
        </w:rPr>
        <w:t>北京大学</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版习题第</w:t>
      </w:r>
      <w:r>
        <w:rPr>
          <w:rFonts w:ascii="Times New Roman" w:hAnsi="Times New Roman" w:eastAsia="Times New Roman" w:cs="Times New Roman"/>
        </w:rPr>
        <w:t xml:space="preserve"> 5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hint="eastAsia" w:ascii="Times New Roman" w:hAnsi="Times New Roman" w:eastAsia="FangSong" w:cs="Times New Roman"/>
        </w:rPr>
        <w:t>按题源顺序编排</w:t>
      </w:r>
      <w:r>
        <w:rPr>
          <w:rFonts w:hint="eastAsia" w:ascii="Times New Roman" w:hAnsi="Times New Roman" w:eastAsia="Times New Roman" w:cs="Times New Roman"/>
        </w:rPr>
        <w:t>，</w:t>
      </w:r>
      <w:r>
        <w:rPr>
          <w:rFonts w:hint="eastAsia" w:ascii="Times New Roman" w:hAnsi="Times New Roman" w:eastAsia="FangSong" w:cs="Times New Roman"/>
        </w:rPr>
        <w:t>覆盖保温杯与弹式量热计计算</w:t>
      </w:r>
      <w:r>
        <w:rPr>
          <w:rFonts w:hint="eastAsia" w:ascii="Times New Roman" w:hAnsi="Times New Roman" w:eastAsia="Times New Roman" w:cs="Times New Roman"/>
        </w:rPr>
        <w:t>、</w:t>
      </w:r>
      <w:r>
        <w:rPr>
          <w:rFonts w:hint="eastAsia" w:ascii="Times New Roman" w:hAnsi="Times New Roman" w:eastAsia="FangSong" w:cs="Times New Roman"/>
        </w:rPr>
        <w:t>盖斯定律与三种焓变求法</w:t>
      </w:r>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hint="eastAsia" w:ascii="Times New Roman" w:hAnsi="Times New Roman" w:eastAsia="FangSong" w:cs="Times New Roman"/>
        </w:rPr>
        <w:t>键焓</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循环与晶格能</w:t>
      </w:r>
      <w:r>
        <w:rPr>
          <w:rFonts w:hint="eastAsia" w:ascii="Times New Roman" w:hAnsi="Times New Roman" w:eastAsia="Times New Roman" w:cs="Times New Roman"/>
        </w:rPr>
        <w:t>、Kirchhoff</w:t>
      </w:r>
      <w:r>
        <w:rPr>
          <w:rFonts w:ascii="Times New Roman" w:hAnsi="Times New Roman" w:eastAsia="Times New Roman" w:cs="Times New Roman"/>
        </w:rPr>
        <w:t xml:space="preserve"> </w:t>
      </w:r>
      <w:r>
        <w:rPr>
          <w:rFonts w:hint="eastAsia" w:ascii="Times New Roman" w:hAnsi="Times New Roman" w:eastAsia="FangSong" w:cs="Times New Roman"/>
        </w:rPr>
        <w:t>温度校正</w:t>
      </w:r>
      <w:r>
        <w:rPr>
          <w:rFonts w:hint="eastAsia" w:ascii="Times New Roman" w:hAnsi="Times New Roman" w:eastAsia="Times New Roman" w:cs="Times New Roman"/>
        </w:rPr>
        <w:t>、</w:t>
      </w:r>
      <w:r>
        <w:rPr>
          <w:rFonts w:hint="eastAsia" w:ascii="Times New Roman" w:hAnsi="Times New Roman" w:eastAsia="FangSong" w:cs="Times New Roman"/>
        </w:rPr>
        <w:t>熵变的定性判断与标准熵计算</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与反应自发性</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的桥梁关系</w:t>
      </w:r>
      <w:r>
        <w:rPr>
          <w:rFonts w:hint="eastAsia" w:ascii="Times New Roman" w:hAnsi="Times New Roman" w:eastAsia="Times New Roman" w:cs="Times New Roman"/>
        </w:rPr>
        <w:t>、</w:t>
      </w:r>
      <w:r>
        <w:rPr>
          <w:rFonts w:hint="eastAsia" w:ascii="Times New Roman" w:hAnsi="Times New Roman" w:eastAsia="FangSong" w:cs="Times New Roman"/>
        </w:rPr>
        <w:t>冶金路线的热力学推荐等本讲全部考点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2"/>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5"/>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5"/>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5"/>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5.28]</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2026-09-28T14:22:29Z</dcterms:created>
  <dcterms:modified xsi:type="dcterms:W3CDTF">2026-09-28T14:22:29Z</dcterms:modified>
</cp:coreProperties>
</file>

<file path=docProps/custom.xml><?xml version="1.0" encoding="utf-8"?>
<Properties xmlns="http://schemas.openxmlformats.org/officeDocument/2006/custom-properties" xmlns:vt="http://schemas.openxmlformats.org/officeDocument/2006/docPropsVTypes"/>
</file>