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配合物深化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分裂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磁性与光谱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能把配位题最核心的三条线串起来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配位几何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分裂方式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光谱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D</m:t>
                  </m:r>
                </m:e>
                <m:sub>
                  <m:r>
                    <m:t>4</m:t>
                  </m:r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三类场中的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轨道分裂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并据此判断高低自旋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颜色与磁矩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效应解释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等典型体系为什么偏离理想八面体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电子效应与反位效应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能理解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给体</w:t>
            </w:r>
            <w:r>
              <w:rPr>
                <w:rFonts w:hint="eastAsia" w:ascii="Times New Roman" w:hAnsi="Times New Roman" w:eastAsia="Times New Roman" w:cs="Times New Roman"/>
              </w:rPr>
              <w:t>、π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受体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键如何决定光谱化学序列与配位场强弱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能用反位效应解释平面四方配合物的定向取代与顺反产物控制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配合物深化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金属键与真题衔接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金属多重键中的</w:t>
            </w:r>
            <w:r>
              <w:rPr>
                <w:rFonts w:ascii="Times New Roman" w:hAnsi="Times New Roman" w:eastAsia="Times New Roman" w:cs="Times New Roman"/>
              </w:rPr>
              <w:t xml:space="preserve"> σ + 2π + δ </w:t>
            </w:r>
            <w:r>
              <w:rPr>
                <w:rFonts w:hint="eastAsia" w:ascii="Times New Roman" w:hAnsi="Times New Roman" w:eastAsia="FangSong" w:cs="Times New Roman"/>
              </w:rPr>
              <w:t>图像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至少会解释</w:t>
            </w:r>
            <w:r>
              <w:rPr>
                <w:rFonts w:ascii="Times New Roman" w:hAnsi="Times New Roman" w:eastAsia="Times New Roman" w:cs="Times New Roman"/>
              </w:rPr>
              <w:t xml:space="preserve"> Re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/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一类典型对象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能把这些工具直接接回近五年决赛和高质量真题中的配位结构题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09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挑战题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2026-09-21T02:52:59Z</dcterms:created>
  <dcterms:modified xsi:type="dcterms:W3CDTF">2026-09-21T02:52:59Z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