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3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837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2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102°）：</w:t>
      </w:r>
      <w:r>
        <w:rPr>
          <w:rFonts w:hint="eastAsia" w:ascii="Times New Roman" w:hAnsi="Times New Roman" w:eastAsia="FangSong" w:cs="Times New Roman"/>
        </w:rPr>
        <w:t>一对孤对电子占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轨道垂直于该平面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130–136°，</w:t>
      </w:r>
      <w:r>
        <w:rPr>
          <w:rFonts w:hint="eastAsia" w:ascii="Times New Roman" w:hAnsi="Times New Roman" w:eastAsia="FangSong" w:cs="Times New Roman"/>
        </w:rPr>
        <w:t>明显弯曲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两个单电子分占</w:t>
      </w:r>
      <w:r>
        <w:rPr>
          <w:rFonts w:ascii="Times New Roman" w:hAnsi="Times New Roman" w:eastAsia="Times New Roman" w:cs="Times New Roman"/>
        </w:rPr>
        <w:t xml:space="preserve"> px、py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类双自由基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构型部分外消旋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三线态卡宾正式轨道瓣图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4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4"/>
    <w:bookmarkStart w:id="38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38"/>
    <w:bookmarkStart w:id="39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8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4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380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6"/>
    <w:bookmarkStart w:id="47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k_H / k_D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9" w:name="例1-碳正离子稳定性比较与重排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碳正离子稳定性比较与重排判断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2-碳负离子pka-判断与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判断与区域选择性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3-自由基链反应过氧化物效应完整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4-卡宾单线态-vs-三线态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三线态立体化学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丁烯对两类卡宾的产物分流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（Simmons-Smith）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只生成顺式产物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不产生反式产物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光解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生成顺式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比例不定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5-苯炔-vs-普通-snar-的分流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的分流判断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6-综合中间体识别-命运判断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7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更稳定的碳负离子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57"/>
    <w:bookmarkStart w:id="58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8"/>
    <w:bookmarkStart w:id="59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1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1"/>
    <w:bookmarkStart w:id="62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2"/>
    <w:bookmarkStart w:id="63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5"/>
    <w:bookmarkStart w:id="6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6"/>
    <w:bookmarkStart w:id="67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36"/>
        </w:numPr>
      </w:pP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8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1" Type="http://schemas.openxmlformats.org/officeDocument/2006/relationships/image" Target="media/rId41.png"/><Relationship Id="rId25" Type="http://schemas.openxmlformats.org/officeDocument/2006/relationships/image" Target="media/rId25.jpg"/><Relationship Id="rId35" Type="http://schemas.openxmlformats.org/officeDocument/2006/relationships/image" Target="media/rId35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2026-09-12T12:03:42Z</dcterms:created>
  <dcterms:modified xsi:type="dcterms:W3CDTF">2026-09-12T12:03:42Z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