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能根据分子式判断有机物的类别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官能团和可能的异构体数目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能熟练使用键线式表示有机物结构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并完成键线式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分子式的互译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能判断含手性碳原子的分子是否具有手性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超共轭效应解释酸碱性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稳定性和反应活性的定性规律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IUPAC </w:t>
      </w:r>
      <w:r>
        <w:rPr>
          <w:rFonts w:hint="eastAsia" w:ascii="Times New Roman" w:hAnsi="Times New Roman" w:eastAsia="FangSong" w:cs="Times New Roman"/>
        </w:rPr>
        <w:t>系统命名法命名常见有机化合物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含立体化学标记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0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2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丙醇四种表示方式对照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键线式是竞赛书写答案的标准形式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分子式</w:t>
      </w:r>
      <w:r>
        <w:rPr>
          <w:rStyle w:val="VerbatimChar"/>
          <w:rFonts w:ascii="Times New Roman" w:hAnsi="Times New Roman" w:eastAsia="Times New Roman" w:cs="Times New Roman"/>
        </w:rPr>
        <w:t xml:space="preserve">    C3H8O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结构式</w:t>
      </w:r>
      <w:r>
        <w:rPr>
          <w:rStyle w:val="VerbatimChar"/>
          <w:rFonts w:ascii="Times New Roman" w:hAnsi="Times New Roman" w:eastAsia="Times New Roman" w:cs="Times New Roman"/>
        </w:rPr>
        <w:t xml:space="preserve">    CH3-CH2-CH2-OH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结构简式</w:t>
      </w:r>
      <w:r>
        <w:rPr>
          <w:rStyle w:val="VerbatimChar"/>
          <w:rFonts w:ascii="Times New Roman" w:hAnsi="Times New Roman" w:eastAsia="Times New Roman" w:cs="Times New Roman"/>
        </w:rPr>
        <w:t xml:space="preserve">  CH3CH2CH2OH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键线式</w:t>
      </w:r>
      <w:r>
        <w:rPr>
          <w:rStyle w:val="VerbatimChar"/>
          <w:rFonts w:ascii="Times New Roman" w:hAnsi="Times New Roman" w:eastAsia="Times New Roman" w:cs="Times New Roman"/>
        </w:rPr>
        <w:t xml:space="preserve">    \/\/\/\-OH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折线的每个端点与拐角都是一个碳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/\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\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\/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R</m:t>
          </m:r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R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羧酸根两个等价极限式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R—C        ⟷        R—C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\\               \\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O               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负电荷在两个等价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上等分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键各具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级键级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1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1"/>
    <w:bookmarkStart w:id="32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比较两个酸的强度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第一步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看解离后负电荷的稳定性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共轭能使负电荷分散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酸性更强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苯酚</w:t>
      </w:r>
      <w:r>
        <w:rPr>
          <w:rStyle w:val="VerbatimChar"/>
          <w:rFonts w:hint="eastAsia" w:ascii="Times New Roman" w:hAnsi="Times New Roman" w:eastAsia="Times New Roman" w:cs="Times New Roman"/>
        </w:rPr>
        <w:t>&gt;</w:t>
      </w:r>
      <w:r>
        <w:rPr>
          <w:rStyle w:val="VerbatimChar"/>
          <w:rFonts w:hint="eastAsia" w:ascii="Times New Roman" w:hAnsi="Times New Roman" w:eastAsia="FangSong" w:cs="Times New Roman"/>
        </w:rPr>
        <w:t>环己醇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酸性更强</w:t>
      </w:r>
      <w:r>
        <w:rPr>
          <w:rStyle w:val="VerbatimChar"/>
          <w:rFonts w:hint="eastAsia" w:ascii="Times New Roman" w:hAnsi="Times New Roman" w:eastAsia="Times New Roman" w:cs="Times New Roman"/>
        </w:rPr>
        <w:t>（Cl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CCOOH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COOH）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Style w:val="VerbatimChar"/>
          <w:rFonts w:ascii="Times New Roman" w:hAnsi="Times New Roman" w:eastAsia="Times New Roman" w:cs="Times New Roman"/>
        </w:rPr>
        <w:t xml:space="preserve"> → HI &gt; HBr &gt; HCl &gt; HF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第二步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2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异构体数目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异构体数目判断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2-rs构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CHO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H—OH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3-酸性比较电子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4-手性与内消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手性与内消旋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5-诱导与共轭的竞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诱导与共轭的竞争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6-共轭效应的贯穿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共轭效应的贯穿性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3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3"/>
    <w:bookmarkStart w:id="44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47"/>
    <w:bookmarkStart w:id="4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48"/>
    <w:bookmarkStart w:id="4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见键线式标准画法</w:t>
      </w:r>
    </w:p>
    <w:p>
      <w:pPr>
        <w:pStyle w:val="Compact"/>
        <w:numPr>
          <w:ilvl w:val="0"/>
          <w:numId w:val="1029"/>
        </w:numPr>
      </w:pP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1"/>
    <w:bookmarkEnd w:id="5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1"/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4" Type="http://schemas.openxmlformats.org/officeDocument/2006/relationships/image" Target="media/rId24.png"/><Relationship Id="rId18" Type="http://schemas.openxmlformats.org/officeDocument/2006/relationships/image" Target="media/rId18.jp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2026-09-11T08:02:39Z</dcterms:created>
  <dcterms:modified xsi:type="dcterms:W3CDTF">2026-09-11T08:02:39Z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