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两亲性分子和胶体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表面物理化学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胶体的稳定性与聚沉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>规则比较电解质聚沉能力</w:t>
            </w:r>
            <w:r>
              <w:rPr>
                <w:rFonts w:hint="eastAsia" w:ascii="Times New Roman" w:hAnsi="Times New Roman" w:eastAsia="Times New Roman" w:cs="Times New Roman"/>
              </w:rPr>
              <w:t>；1:64:729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两亲性分子与</w:t>
            </w:r>
            <w:r>
              <w:rPr>
                <w:rFonts w:ascii="Times New Roman" w:hAnsi="Times New Roman" w:eastAsia="Times New Roman" w:cs="Times New Roman"/>
              </w:rPr>
              <w:t xml:space="preserve"> 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>表面活性剂行为差异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表面物理化学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吸附类型与吸附等温式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（θ、K、Vm）；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</w:t>
            </w:r>
            <w:r>
              <w:rPr>
                <w:rFonts w:hint="eastAsia" w:ascii="Times New Roman" w:hAnsi="Times New Roman" w:eastAsia="Times New Roman" w:cs="Times New Roman"/>
              </w:rPr>
              <w:t>85%；</w:t>
            </w: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”（N/m）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”（J/m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同一个量的两种单位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表面活性剂溶液的物理性质随浓度变化及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实图为摩尔电导率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表面张力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渗透压三条曲线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处均出现拐点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其中表面张力低于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呈平台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胶团结构层次标注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实图在胶团结构式上标注吸附层与扩散层分界及胶核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胶团三级层次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电位的定量分布见下方正文说明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（Atkins）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实图为势能随粒子间距变化的曲线簇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双电层厚度越大势垒越高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双电层被压缩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离子强度大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时势垒消失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粒子落入引力极小发生聚沉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絮凝对应浅势阱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NaCl /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吸附平衡常数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mmol/L：</w:t>
      </w:r>
      <w:r>
        <w:rPr>
          <w:rFonts w:hint="eastAsia" w:ascii="Times New Roman" w:hAnsi="Times New Roman" w:eastAsia="FangSong" w:cs="Times New Roman"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LH </w:t>
      </w:r>
      <w:r>
        <w:rPr>
          <w:rFonts w:hint="eastAsia" w:ascii="Times New Roman" w:hAnsi="Times New Roman" w:eastAsia="FangSong" w:cs="Times New Roman"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胶束形成的热力学驱动力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建模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极限行为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胶束增溶疏水药物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DLVO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2026-09-20T09:43:25Z</dcterms:created>
  <dcterms:modified xsi:type="dcterms:W3CDTF">2026-09-20T09:43:25Z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