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容量分析三要素</w:t>
            </w:r>
          </w:p>
        </w:tc>
        <w:tc>
          <w:tcPr/>
          <w:p>
            <w:pPr>
              <w:pStyle w:val="Compact"/>
              <w:jc w:val="cente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酸碱滴定曲线与突跃</w:t>
            </w:r>
          </w:p>
        </w:tc>
        <w:tc>
          <w:tcPr/>
          <w:p>
            <w:pPr>
              <w:pStyle w:val="Compact"/>
              <w:jc w:val="cente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指示剂与终点误差</w:t>
            </w:r>
          </w:p>
        </w:tc>
        <w:tc>
          <w:tcPr/>
          <w:p>
            <w:pPr>
              <w:pStyle w:val="Compact"/>
              <w:jc w:val="center"/>
            </w:pPr>
            <w:r>
              <w:rPr>
                <w:rFonts w:hint="eastAsia" w:ascii="Times New Roman" w:hAnsi="Times New Roman" w:eastAsia="FangSong" w:cs="Times New Roman"/>
              </w:rPr>
              <w:t>由突跃范围判断指示剂是否可用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弱酸滴定与强化</w:t>
            </w:r>
          </w:p>
        </w:tc>
        <w:tc>
          <w:tcPr/>
          <w:p>
            <w:pPr>
              <w:pStyle w:val="Compact"/>
              <w:jc w:val="center"/>
            </w:pPr>
            <w:r>
              <w:rPr>
                <w:rFonts w:hint="eastAsia" w:ascii="Times New Roman" w:hAnsi="Times New Roman" w:eastAsia="FangSong" w:cs="Times New Roman"/>
              </w:rPr>
              <w:t>处理弱酸滴定问题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甲醛法与空白校正</w:t>
            </w:r>
          </w:p>
        </w:tc>
        <w:tc>
          <w:tcPr/>
          <w:p>
            <w:pPr>
              <w:pStyle w:val="Compact"/>
              <w:jc w:val="center"/>
            </w:pPr>
            <w:r>
              <w:rPr>
                <w:rFonts w:hint="eastAsia" w:ascii="Times New Roman" w:hAnsi="Times New Roman" w:eastAsia="FangSong" w:cs="Times New Roman"/>
              </w:rPr>
              <w:t>掌握甲醛法测氨基酸态氮的原理与计算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理解为什么要做空白校正</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2"/>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2"/>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3"/>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3"/>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4"/>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4"/>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5"/>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5"/>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先算平均值与平均偏差</w:t>
      </w:r>
    </w:p>
    <w:p>
      <w:pPr>
        <w:pStyle w:val="Compact"/>
        <w:numPr>
          <w:ilvl w:val="0"/>
          <w:numId w:val="1007"/>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7"/>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9"/>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w:t>
      </w:r>
      <w:r>
        <w:rPr>
          <w:rFonts w:hint="eastAsia" w:ascii="Times New Roman" w:hAnsi="Times New Roman" w:eastAsia="Times New Roman" w:cs="Times New Roman"/>
        </w:rPr>
        <w:t>Pb、Bi、Ni（</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1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BodyText"/>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17"/>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7"/>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0"/>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1.21g/L。</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+0.34%。</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-0.317V。</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pH&gt;11.9。</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消毒剂体系</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与络合滴定的条件控制</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-3.2%。</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-0.05%。</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 xml:space="preserve">超导合金的组分测定</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5.79。</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21"/>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21"/>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21"/>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21"/>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2"/>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容量分析计算</w:t>
      </w:r>
    </w:p>
    <w:p>
      <w:pPr>
        <w:pStyle w:val="Compact"/>
        <w:numPr>
          <w:ilvl w:val="0"/>
          <w:numId w:val="1022"/>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22"/>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22"/>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22"/>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22"/>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2026-09-19T13:00:17Z</dcterms:created>
  <dcterms:modified xsi:type="dcterms:W3CDTF">2026-09-19T13:00:17Z</dcterms:modified>
</cp:coreProperties>
</file>

<file path=docProps/custom.xml><?xml version="1.0" encoding="utf-8"?>
<Properties xmlns="http://schemas.openxmlformats.org/officeDocument/2006/custom-properties" xmlns:vt="http://schemas.openxmlformats.org/officeDocument/2006/docPropsVTypes"/>
</file>