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四大家族分类框架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能将高频重排分为四大家族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碳正离子型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向缺电子杂原子迁移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硅驱动与缩环型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Wagner-Meerwein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Wagner-Meerwein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（H/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的电子推动机理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能从底物模板区分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Beckmann（</w:t>
            </w: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Baeyer-Villiger（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并正确判断迁移规则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向氮迁移三类重排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Curtius/Hofmann/Lossen </w:t>
            </w:r>
            <w:r>
              <w:rPr>
                <w:rFonts w:hint="eastAsia" w:ascii="Times New Roman" w:hAnsi="Times New Roman" w:eastAsia="FangSong" w:cs="Times New Roman"/>
              </w:rPr>
              <w:t xml:space="preserve">三类向缺电子氮迁移的重排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重排的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机理与不对称选择性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Claisen/Cope </w:t>
            </w:r>
            <w:r>
              <w:rPr>
                <w:rFonts w:hint="eastAsia" w:ascii="Times New Roman" w:hAnsi="Times New Roman" w:eastAsia="Times New Roman" w:cs="Times New Roman"/>
              </w:rPr>
              <w:t>[3,3]-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Claisen/Cope </w:t>
            </w:r>
            <w:r>
              <w:rPr>
                <w:rFonts w:hint="eastAsia" w:ascii="Times New Roman" w:hAnsi="Times New Roman" w:eastAsia="FangSong" w:cs="Times New Roman"/>
              </w:rPr>
              <w:t>的协同</w:t>
            </w: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迁移模板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不再混写成离子机理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Brook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Brook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Favorskii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环丙酮中间体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三步法综合应用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模板识别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产物核对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三步法解决重排综合题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3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7497"/>
            <wp:effectExtent b="0" l="0" r="0" t="0"/>
            <wp:docPr descr="Wagner-Meerwein 1,2-迁移机理" title="" id="21" name="Picture"/>
            <a:graphic>
              <a:graphicData uri="http://schemas.openxmlformats.org/drawingml/2006/picture">
                <pic:pic>
                  <pic:nvPicPr>
                    <pic:cNvPr descr="10f27a7e750e8b35058ba686c574bfeaaa13af61cbb777f185137e0fad7c429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7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邻位基团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R）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带一对电子作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迁移到缺电子的碳正离子中心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正电荷中心随之转移到原迁移基团的位置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2° → 3°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的稳定性提升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7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8"/>
    <w:bookmarkStart w:id="29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9"/>
    <w:bookmarkStart w:id="30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3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7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7"/>
    <w:bookmarkStart w:id="38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40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0"/>
    <w:bookmarkStart w:id="41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41"/>
    <w:bookmarkStart w:id="42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0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碳正离子重排wagner-meerwein-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反应分四步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质子化生成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上生成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C-2，</w:t>
      </w:r>
      <w:r>
        <w:rPr>
          <w:rFonts w:hint="eastAsia" w:ascii="Times New Roman" w:hAnsi="Times New Roman" w:eastAsia="FangSong" w:cs="Times New Roman"/>
        </w:rPr>
        <w:t>正电荷转移至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得到更稳定的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  <w:b/>
          <w:bCs/>
        </w:rPr>
        <w:t xml:space="preserve"> β-H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，Saytzeff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例2-不对称-pinacol-重排的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>重排的选择性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5"/>
    <w:bookmarkStart w:id="46" w:name="例3-beckmann-vs-b-v-对比模板识别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协同-vs-离子claisen-重排机理辨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重排机理辨析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</w:t>
      </w:r>
      <w:r>
        <w:rPr>
          <w:rFonts w:hint="eastAsia" w:ascii="Times New Roman" w:hAnsi="Times New Roman" w:eastAsia="FangSong" w:cs="Times New Roman"/>
        </w:rPr>
        <w:t xml:space="preserve">重排为协同的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烯丙基芳基醚</w:t>
      </w:r>
      <w:r>
        <w:rPr>
          <w:rFonts w:hint="eastAsia" w:ascii="Times New Roman" w:hAnsi="Times New Roman" w:eastAsia="Times New Roman" w:cs="Times New Roman"/>
        </w:rPr>
        <w:t>（O–CH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Δ（≈200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°C）</w:t>
      </w:r>
      <w:r>
        <w:rPr>
          <w:rFonts w:hint="eastAsia" w:ascii="Times New Roman" w:hAnsi="Times New Roman" w:eastAsia="FangSong" w:cs="Times New Roman"/>
        </w:rPr>
        <w:t>下经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酮式中间体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互变异构恢复芳香性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邻烯丙基苯酚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例5-向缺电子-n-迁移curtius-重排产物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重排产物链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49" w:name="例6-综合四选一模板识别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4"/>
    <w:bookmarkStart w:id="55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5"/>
    <w:bookmarkStart w:id="56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4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8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2906" cy="187934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906" cy="18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将环己酮肟转化为己内酰胺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2026-09-19T13:00:54Z</dcterms:created>
  <dcterms:modified xsi:type="dcterms:W3CDTF">2026-09-19T13:00:54Z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