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反应速率与速率方程</w:t>
            </w:r>
          </w:p>
        </w:tc>
        <w:tc>
          <w:tcPr/>
          <w:p>
            <w:pPr>
              <w:pStyle w:val="Compact"/>
              <w:jc w:val="center"/>
            </w:pPr>
            <w:r>
              <w:rPr>
                <w:rFonts w:hint="eastAsia" w:ascii="Times New Roman" w:hAnsi="Times New Roman" w:eastAsia="FangSong" w:cs="Times New Roman"/>
              </w:rPr>
              <w:t xml:space="preserve">由实验数据作</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rPr>
                  <m:sty m:val="p"/>
                </m:rPr>
                <m:t>ln</m:t>
              </m:r>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1</m:t>
              </m:r>
              <m:r>
                <m:rPr>
                  <m:sty m:val="p"/>
                </m:rPr>
                <m:t>/</m:t>
              </m:r>
              <m:r>
                <m:t>c</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线性化拟合判定反应级数</w:t>
            </w:r>
            <w:r>
              <w:rPr>
                <w:rFonts w:hint="eastAsia" w:ascii="Times New Roman" w:hAnsi="Times New Roman" w:eastAsia="Times New Roman" w:cs="Times New Roman"/>
              </w:rPr>
              <w:t>，</w:t>
            </w:r>
            <w:r>
              <w:rPr>
                <w:rFonts w:hint="eastAsia" w:ascii="Times New Roman" w:hAnsi="Times New Roman" w:eastAsia="FangSong" w:cs="Times New Roman"/>
              </w:rPr>
              <w:t>用最小二乘求速率常数</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简单级数反应的积分速率方程</w:t>
            </w:r>
          </w:p>
        </w:tc>
        <w:tc>
          <w:tcPr/>
          <w:p>
            <w:pPr>
              <w:pStyle w:val="Compact"/>
              <w:jc w:val="center"/>
            </w:pPr>
            <w:r>
              <w:rPr>
                <w:rFonts w:hint="eastAsia" w:ascii="Times New Roman" w:hAnsi="Times New Roman" w:eastAsia="FangSong" w:cs="Times New Roman"/>
              </w:rPr>
              <w:t>求解平行反应与连串反应的解析浓度</w:t>
            </w:r>
            <w:r>
              <w:rPr>
                <w:rFonts w:hint="eastAsia" w:ascii="Times New Roman" w:hAnsi="Times New Roman" w:eastAsia="Times New Roman" w:cs="Times New Roman"/>
              </w:rPr>
              <w:t>—</w:t>
            </w:r>
            <w:r>
              <w:rPr>
                <w:rFonts w:hint="eastAsia" w:ascii="Times New Roman" w:hAnsi="Times New Roman" w:eastAsia="FangSong" w:cs="Times New Roman"/>
              </w:rPr>
              <w:t>时间关系</w:t>
            </w:r>
            <w:r>
              <w:rPr>
                <w:rFonts w:hint="eastAsia" w:ascii="Times New Roman" w:hAnsi="Times New Roman" w:eastAsia="Times New Roman" w:cs="Times New Roman"/>
              </w:rPr>
              <w:t>，</w:t>
            </w:r>
            <w:r>
              <w:rPr>
                <w:rFonts w:hint="eastAsia" w:ascii="Times New Roman" w:hAnsi="Times New Roman" w:eastAsia="FangSong" w:cs="Times New Roman"/>
              </w:rPr>
              <w:t>导出中间物极值时间与最大产率的定量条件</w:t>
            </w:r>
          </w:p>
        </w:tc>
      </w:tr>
      <w:tr>
        <w:tc>
          <w:tcPr/>
          <w:p>
            <w:pPr>
              <w:pStyle w:val="Compact"/>
              <w:jc w:val="center"/>
            </w:pPr>
            <w:r>
              <w:rPr>
                <w:rFonts w:ascii="Times New Roman" w:hAnsi="Times New Roman" w:eastAsia="Times New Roman" w:cs="Times New Roman"/>
              </w:rPr>
              <w:t xml:space="preserve">§57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Arrhenius </w:t>
            </w:r>
            <w:r>
              <w:rPr>
                <w:rFonts w:hint="eastAsia" w:ascii="Times New Roman" w:hAnsi="Times New Roman" w:eastAsia="FangSong" w:cs="Times New Roman"/>
              </w:rPr>
              <w:t xml:space="preserve">方程与活化能</w:t>
            </w:r>
          </w:p>
        </w:tc>
        <w:tc>
          <w:tcPr/>
          <w:p>
            <w:pPr>
              <w:pStyle w:val="Compact"/>
              <w:jc w:val="center"/>
            </w:pPr>
            <w:r>
              <w:rPr>
                <w:rFonts w:hint="eastAsia" w:ascii="Times New Roman" w:hAnsi="Times New Roman" w:eastAsia="FangSong" w:cs="Times New Roman"/>
              </w:rPr>
              <w:t>由不同温度速率常数求活化能与指前因子</w:t>
            </w:r>
            <w:r>
              <w:rPr>
                <w:rFonts w:hint="eastAsia" w:ascii="Times New Roman" w:hAnsi="Times New Roman" w:eastAsia="Times New Roman" w:cs="Times New Roman"/>
              </w:rPr>
              <w:t>，</w:t>
            </w:r>
            <w:r>
              <w:rPr>
                <w:rFonts w:hint="eastAsia" w:ascii="Times New Roman" w:hAnsi="Times New Roman" w:eastAsia="FangSong" w:cs="Times New Roman"/>
              </w:rPr>
              <w:t>定量换算温度对速率与选择性的影响</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反应机理与近似方法</w:t>
            </w:r>
          </w:p>
        </w:tc>
        <w:tc>
          <w:tcPr/>
          <w:p>
            <w:pPr>
              <w:pStyle w:val="Compact"/>
              <w:jc w:val="center"/>
            </w:pPr>
            <w:r>
              <w:rPr>
                <w:rFonts w:hint="eastAsia" w:ascii="Times New Roman" w:hAnsi="Times New Roman" w:eastAsia="FangSong" w:cs="Times New Roman"/>
              </w:rPr>
              <w:t>用拟稳态近似与平衡假设推导复合反应速率方程</w:t>
            </w:r>
            <w:r>
              <w:rPr>
                <w:rFonts w:hint="eastAsia" w:ascii="Times New Roman" w:hAnsi="Times New Roman" w:eastAsia="Times New Roman" w:cs="Times New Roman"/>
              </w:rPr>
              <w:t>，</w:t>
            </w:r>
            <w:r>
              <w:rPr>
                <w:rFonts w:hint="eastAsia" w:ascii="Times New Roman" w:hAnsi="Times New Roman" w:eastAsia="FangSong" w:cs="Times New Roman"/>
              </w:rPr>
              <w:t>判定两种近似的适用边界与相对误差</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催化与速率理论</w:t>
            </w:r>
          </w:p>
        </w:tc>
        <w:tc>
          <w:tcPr/>
          <w:p>
            <w:pPr>
              <w:pStyle w:val="Compact"/>
              <w:jc w:val="center"/>
            </w:pPr>
            <w:r>
              <w:rPr>
                <w:rFonts w:hint="eastAsia" w:ascii="Times New Roman" w:hAnsi="Times New Roman" w:eastAsia="FangSong" w:cs="Times New Roman"/>
              </w:rPr>
              <w:t>处理米氏方程与双倒数作图判酶催化机理</w:t>
            </w:r>
            <w:r>
              <w:rPr>
                <w:rFonts w:hint="eastAsia" w:ascii="Times New Roman" w:hAnsi="Times New Roman" w:eastAsia="Times New Roman" w:cs="Times New Roman"/>
              </w:rPr>
              <w:t>、</w:t>
            </w:r>
            <w:r>
              <w:rPr>
                <w:rFonts w:hint="eastAsia" w:ascii="Times New Roman" w:hAnsi="Times New Roman" w:eastAsia="FangSong" w:cs="Times New Roman"/>
              </w:rPr>
              <w:t>原盐效应与弛豫法测定超快反应速率常数</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复杂反应动力学</w:t>
            </w:r>
          </w:p>
        </w:tc>
        <w:tc>
          <w:tcPr/>
          <w:p>
            <w:pPr>
              <w:pStyle w:val="Compact"/>
              <w:jc w:val="center"/>
            </w:pPr>
            <w:r>
              <w:rPr>
                <w:rFonts w:hint="eastAsia" w:ascii="Times New Roman" w:hAnsi="Times New Roman" w:eastAsia="FangSong" w:cs="Times New Roman"/>
              </w:rPr>
              <w:t>建立自由基链反应与支链爆炸的微分判据</w:t>
            </w:r>
            <w:r>
              <w:rPr>
                <w:rFonts w:hint="eastAsia" w:ascii="Times New Roman" w:hAnsi="Times New Roman" w:eastAsia="Times New Roman" w:cs="Times New Roman"/>
              </w:rPr>
              <w:t>，</w:t>
            </w:r>
            <w:r>
              <w:rPr>
                <w:rFonts w:hint="eastAsia" w:ascii="Times New Roman" w:hAnsi="Times New Roman" w:eastAsia="FangSong" w:cs="Times New Roman"/>
              </w:rPr>
              <w:t>理解非线性化学振荡的动力学建模思路</w:t>
            </w:r>
          </w:p>
        </w:tc>
      </w:tr>
    </w:tbl>
    <w:bookmarkEnd w:id="9"/>
    <w:bookmarkStart w:id="10"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p>
      <w:pPr>
        <w:pStyle w:val="FirstParagraph"/>
        <w:spacing w:before="160" w:after="80"/>
        <w:jc w:val="center"/>
      </w:pPr>
      <w:r>
        <w:rPr>
          <w:rFonts w:ascii="Times New Roman" w:hAnsi="Times New Roman" w:eastAsia="Times New Roman" w:cs="Times New Roman"/>
        </w:rPr>
        <w:drawing>
          <wp:inline>
            <wp:extent cx="2476500" cy="3410884"/>
            <wp:effectExtent b="0" l="0" r="0" t="0"/>
            <wp:docPr descr="" title="" id="12" name="Picture"/>
            <a:graphic>
              <a:graphicData uri="http://schemas.openxmlformats.org/drawingml/2006/picture">
                <pic:pic>
                  <pic:nvPicPr>
                    <pic:cNvPr descr="cd8f41efef4c9f2d6ef3ae25ac2a44e4c65281039570e22d28676a8cea071b42.jpg" id="13" name="Picture"/>
                    <pic:cNvPicPr>
                      <a:picLocks noChangeArrowheads="1" noChangeAspect="1"/>
                    </pic:cNvPicPr>
                  </pic:nvPicPr>
                  <pic:blipFill>
                    <a:blip r:embed="rId11"/>
                    <a:stretch>
                      <a:fillRect/>
                    </a:stretch>
                  </pic:blipFill>
                  <pic:spPr bwMode="auto">
                    <a:xfrm>
                      <a:off x="0" y="0"/>
                      <a:ext cx="2476500" cy="3410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p>
      <w:pPr>
        <w:pStyle w:val="BodyText"/>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而后续生成产物的步骤极其缓慢成为速率决定步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286000" cy="2676071"/>
                  <wp:effectExtent b="0" l="0" r="0" t="0"/>
                  <wp:docPr descr="" title="" id="17" name="Picture"/>
                  <a:graphic>
                    <a:graphicData uri="http://schemas.openxmlformats.org/drawingml/2006/picture">
                      <pic:pic>
                        <pic:nvPicPr>
                          <pic:cNvPr descr="4a3d387c4637a03e3fa570e09af3549320c56194b8cf2095b620ac5fa78edb18.jpg" id="18" name="Picture"/>
                          <pic:cNvPicPr>
                            <a:picLocks noChangeArrowheads="1" noChangeAspect="1"/>
                          </pic:cNvPicPr>
                        </pic:nvPicPr>
                        <pic:blipFill>
                          <a:blip r:embed="rId16"/>
                          <a:stretch>
                            <a:fillRect/>
                          </a:stretch>
                        </pic:blipFill>
                        <pic:spPr bwMode="auto">
                          <a:xfrm>
                            <a:off x="0" y="0"/>
                            <a:ext cx="2286000" cy="26760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64249"/>
                  <wp:effectExtent b="0" l="0" r="0" t="0"/>
                  <wp:docPr descr="" title="" id="20" name="Picture"/>
                  <a:graphic>
                    <a:graphicData uri="http://schemas.openxmlformats.org/drawingml/2006/picture">
                      <pic:pic>
                        <pic:nvPicPr>
                          <pic:cNvPr descr="02f6a621ce3318575b9b04cc4bc7a755ee355f915e3e368847f72d9ec40aee4c.jpg" id="21" name="Picture"/>
                          <pic:cNvPicPr>
                            <a:picLocks noChangeArrowheads="1" noChangeAspect="1"/>
                          </pic:cNvPicPr>
                        </pic:nvPicPr>
                        <pic:blipFill>
                          <a:blip r:embed="rId19"/>
                          <a:stretch>
                            <a:fillRect/>
                          </a:stretch>
                        </pic:blipFill>
                        <pic:spPr bwMode="auto">
                          <a:xfrm>
                            <a:off x="0" y="0"/>
                            <a:ext cx="2286000" cy="2364249"/>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溶液离子反应初级原盐效应与溶剂笼扩散控制演化</w:t>
      </w:r>
    </w:p>
    <w:p>
      <w:pPr>
        <w:pStyle w:val="FirstParagraph"/>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286000" cy="2111712"/>
                  <wp:effectExtent b="0" l="0" r="0" t="0"/>
                  <wp:docPr descr="" title="" id="24" name="Picture"/>
                  <a:graphic>
                    <a:graphicData uri="http://schemas.openxmlformats.org/drawingml/2006/picture">
                      <pic:pic>
                        <pic:nvPicPr>
                          <pic:cNvPr descr="98602a7a2aab590d6c27feac27bcc362a18e8d50697d135c256ada4e622fbec4.jpg" id="25" name="Picture"/>
                          <pic:cNvPicPr>
                            <a:picLocks noChangeArrowheads="1" noChangeAspect="1"/>
                          </pic:cNvPicPr>
                        </pic:nvPicPr>
                        <pic:blipFill>
                          <a:blip r:embed="rId23"/>
                          <a:stretch>
                            <a:fillRect/>
                          </a:stretch>
                        </pic:blipFill>
                        <pic:spPr bwMode="auto">
                          <a:xfrm>
                            <a:off x="0" y="0"/>
                            <a:ext cx="2286000" cy="21117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710347"/>
                  <wp:effectExtent b="0" l="0" r="0" t="0"/>
                  <wp:docPr descr="" title="" id="27" name="Picture"/>
                  <a:graphic>
                    <a:graphicData uri="http://schemas.openxmlformats.org/drawingml/2006/picture">
                      <pic:pic>
                        <pic:nvPicPr>
                          <pic:cNvPr descr="5a4900a227eda1090319d40da66d0eb3b7128c7905113c1e81c5a34e6366a4c5.jpg" id="28" name="Picture"/>
                          <pic:cNvPicPr>
                            <a:picLocks noChangeArrowheads="1" noChangeAspect="1"/>
                          </pic:cNvPicPr>
                        </pic:nvPicPr>
                        <pic:blipFill>
                          <a:blip r:embed="rId26"/>
                          <a:stretch>
                            <a:fillRect/>
                          </a:stretch>
                        </pic:blipFill>
                        <pic:spPr bwMode="auto">
                          <a:xfrm>
                            <a:off x="0" y="0"/>
                            <a:ext cx="2286000" cy="2710347"/>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8-3：</w:t>
      </w:r>
      <w:r>
        <w:rPr>
          <w:rFonts w:hint="eastAsia" w:ascii="Times New Roman" w:hAnsi="Times New Roman" w:eastAsia="FangSong" w:cs="Times New Roman"/>
          <w:b w:val="0"/>
          <w:i w:val="0"/>
          <w:sz w:val="21"/>
        </w:rPr>
        <w:t>支链反应自由基分支机理与爆炸极限半岛图</w:t>
      </w:r>
    </w:p>
    <w:p>
      <w:pPr>
        <w:pStyle w:val="FirstParagraph"/>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其动力学积分展现出截然相反的两类命运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9"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627532"/>
            <wp:effectExtent b="0" l="0" r="0" t="0"/>
            <wp:docPr descr="" title="" id="31" name="Picture"/>
            <a:graphic>
              <a:graphicData uri="http://schemas.openxmlformats.org/drawingml/2006/picture">
                <pic:pic>
                  <pic:nvPicPr>
                    <pic:cNvPr descr="c773f22331739a539e87c8d1ed1c394e495e2b5406c91f057716a274136215d4.jpg" id="32" name="Picture"/>
                    <pic:cNvPicPr>
                      <a:picLocks noChangeArrowheads="1" noChangeAspect="1"/>
                    </pic:cNvPicPr>
                  </pic:nvPicPr>
                  <pic:blipFill>
                    <a:blip r:embed="rId30"/>
                    <a:stretch>
                      <a:fillRect/>
                    </a:stretch>
                  </pic:blipFill>
                  <pic:spPr bwMode="auto">
                    <a:xfrm>
                      <a:off x="0" y="0"/>
                      <a:ext cx="2476500" cy="16275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典型酶催化反应速率与底物浓度饱和曲线</w:t>
      </w:r>
    </w:p>
    <w:p>
      <w:pPr>
        <w:pStyle w:val="BodyText"/>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286000" cy="2407663"/>
                  <wp:effectExtent b="0" l="0" r="0" t="0"/>
                  <wp:docPr descr="" title="" id="34" name="Picture"/>
                  <a:graphic>
                    <a:graphicData uri="http://schemas.openxmlformats.org/drawingml/2006/picture">
                      <pic:pic>
                        <pic:nvPicPr>
                          <pic:cNvPr descr="ec119642eb99ec7df1d40ddf6d44a99f084b8cfc2c54eaa5ad2fec9ca21bc78b.jpg" id="35" name="Picture"/>
                          <pic:cNvPicPr>
                            <a:picLocks noChangeArrowheads="1" noChangeAspect="1"/>
                          </pic:cNvPicPr>
                        </pic:nvPicPr>
                        <pic:blipFill>
                          <a:blip r:embed="rId33"/>
                          <a:stretch>
                            <a:fillRect/>
                          </a:stretch>
                        </pic:blipFill>
                        <pic:spPr bwMode="auto">
                          <a:xfrm>
                            <a:off x="0" y="0"/>
                            <a:ext cx="2286000" cy="24076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928635"/>
                  <wp:effectExtent b="0" l="0" r="0" t="0"/>
                  <wp:docPr descr="" title="" id="37" name="Picture"/>
                  <a:graphic>
                    <a:graphicData uri="http://schemas.openxmlformats.org/drawingml/2006/picture">
                      <pic:pic>
                        <pic:nvPicPr>
                          <pic:cNvPr descr="cce79c1e8bd8b449f660e3c0b8cf0bacfb19b1a3179cfcd1267978a1af1377f3.jpg" id="38" name="Picture"/>
                          <pic:cNvPicPr>
                            <a:picLocks noChangeArrowheads="1" noChangeAspect="1"/>
                          </pic:cNvPicPr>
                        </pic:nvPicPr>
                        <pic:blipFill>
                          <a:blip r:embed="rId36"/>
                          <a:stretch>
                            <a:fillRect/>
                          </a:stretch>
                        </pic:blipFill>
                        <pic:spPr bwMode="auto">
                          <a:xfrm>
                            <a:off x="0" y="0"/>
                            <a:ext cx="2286000" cy="1928635"/>
                          </a:xfrm>
                          <a:prstGeom prst="rect">
                            <a:avLst/>
                          </a:prstGeom>
                          <a:noFill/>
                          <a:ln w="9525">
                            <a:noFill/>
                            <a:headEnd/>
                            <a:tailEnd/>
                          </a:ln>
                        </pic:spPr>
                      </pic:pic>
                    </a:graphicData>
                  </a:graphic>
                </wp:inline>
              </w:drawing>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非平衡自催化化学振荡与相平面极限环吸引子</w:t>
      </w:r>
    </w:p>
    <w:p>
      <w:pPr>
        <w:pStyle w:val="FirstParagraph"/>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40"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0"/>
    <w:bookmarkStart w:id="41"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1"/>
    <w:bookmarkStart w:id="42"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42"/>
    <w:bookmarkStart w:id="43"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3"/>
    <w:bookmarkEnd w:id="44"/>
    <w:bookmarkStart w:id="45"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覆盖积分速率方程与实验数据线性化拟合</w:t>
      </w:r>
      <w:r>
        <w:rPr>
          <w:rFonts w:hint="eastAsia" w:ascii="Times New Roman" w:hAnsi="Times New Roman" w:eastAsia="Times New Roman" w:cs="Times New Roman"/>
        </w:rPr>
        <w:t>、</w:t>
      </w:r>
      <w:r>
        <w:rPr>
          <w:rFonts w:hint="eastAsia" w:ascii="Times New Roman" w:hAnsi="Times New Roman" w:eastAsia="FangSong" w:cs="Times New Roman"/>
        </w:rPr>
        <w:t>初始速率法与积分法判定反应级数</w:t>
      </w:r>
      <w:r>
        <w:rPr>
          <w:rFonts w:hint="eastAsia" w:ascii="Times New Roman" w:hAnsi="Times New Roman" w:eastAsia="Times New Roman" w:cs="Times New Roman"/>
        </w:rPr>
        <w:t>、</w:t>
      </w:r>
      <w:r>
        <w:rPr>
          <w:rFonts w:hint="eastAsia" w:ascii="Times New Roman" w:hAnsi="Times New Roman" w:eastAsia="FangSong" w:cs="Times New Roman"/>
        </w:rPr>
        <w:t>拟稳态近似与平衡假设的判据</w:t>
      </w:r>
      <w:r>
        <w:rPr>
          <w:rFonts w:hint="eastAsia" w:ascii="Times New Roman" w:hAnsi="Times New Roman" w:eastAsia="Times New Roman" w:cs="Times New Roman"/>
        </w:rPr>
        <w:t>、</w:t>
      </w:r>
      <w:r>
        <w:rPr>
          <w:rFonts w:hint="eastAsia" w:ascii="Times New Roman" w:hAnsi="Times New Roman" w:eastAsia="FangSong" w:cs="Times New Roman"/>
        </w:rPr>
        <w:t>弛豫动力学与溶液反应原盐效应</w:t>
      </w:r>
      <w:r>
        <w:rPr>
          <w:rFonts w:hint="eastAsia" w:ascii="Times New Roman" w:hAnsi="Times New Roman" w:eastAsia="Times New Roman" w:cs="Times New Roman"/>
        </w:rPr>
        <w:t>、</w:t>
      </w:r>
      <w:r>
        <w:rPr>
          <w:rFonts w:hint="eastAsia" w:ascii="Times New Roman" w:hAnsi="Times New Roman" w:eastAsia="FangSong" w:cs="Times New Roman"/>
        </w:rPr>
        <w:t>自由基链反应与支链爆炸判据</w:t>
      </w:r>
      <w:r>
        <w:rPr>
          <w:rFonts w:hint="eastAsia" w:ascii="Times New Roman" w:hAnsi="Times New Roman" w:eastAsia="Times New Roman" w:cs="Times New Roman"/>
        </w:rPr>
        <w:t>、</w:t>
      </w:r>
      <w:r>
        <w:rPr>
          <w:rFonts w:hint="eastAsia" w:ascii="Times New Roman" w:hAnsi="Times New Roman" w:eastAsia="FangSong" w:cs="Times New Roman"/>
        </w:rPr>
        <w:t>酶催化动力学与双倒数作图判机理等本讲全部考点</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15~25 </w:t>
      </w:r>
      <w:r>
        <w:rPr>
          <w:rFonts w:hint="eastAsia" w:ascii="Times New Roman" w:hAnsi="Times New Roman" w:eastAsia="FangSong" w:cs="Times New Roman"/>
        </w:rPr>
        <w:t>题为历届竞赛真题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3"/>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8"/>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9"/>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0"/>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1"/>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16" Type="http://schemas.openxmlformats.org/officeDocument/2006/relationships/image" Target="media/rId16.jpg"/><Relationship Id="rId26" Type="http://schemas.openxmlformats.org/officeDocument/2006/relationships/image" Target="media/rId26.jpg"/><Relationship Id="rId23" Type="http://schemas.openxmlformats.org/officeDocument/2006/relationships/image" Target="media/rId23.jpg"/><Relationship Id="rId30" Type="http://schemas.openxmlformats.org/officeDocument/2006/relationships/image" Target="media/rId30.jpg"/><Relationship Id="rId36" Type="http://schemas.openxmlformats.org/officeDocument/2006/relationships/image" Target="media/rId36.jpg"/><Relationship Id="rId11" Type="http://schemas.openxmlformats.org/officeDocument/2006/relationships/image" Target="media/rId11.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2026-09-29T00:43:47Z</dcterms:created>
  <dcterms:modified xsi:type="dcterms:W3CDTF">2026-09-29T00:43:47Z</dcterms:modified>
</cp:coreProperties>
</file>

<file path=docProps/custom.xml><?xml version="1.0" encoding="utf-8"?>
<Properties xmlns="http://schemas.openxmlformats.org/officeDocument/2006/custom-properties" xmlns:vt="http://schemas.openxmlformats.org/officeDocument/2006/docPropsVTypes"/>
</file>