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客体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>直径</w:t>
      </w:r>
      <w:r>
        <w:rPr>
          <w:rStyle w:val="VerbatimChar"/>
          <w:rFonts w:hint="eastAsia" w:ascii="SimSun" w:hAnsi="SimSun" w:eastAsia="SimSun" w:cs="SimSun"/>
        </w:rPr>
        <w:t>/Å</w:t>
      </w:r>
      <w:r>
        <w:rPr>
          <w:rStyle w:val="VerbatimChar"/>
          <w:rFonts w:ascii="SimSun" w:hAnsi="SimSun" w:eastAsia="SimSun" w:cs="SimSun"/>
        </w:rPr>
        <w:t xml:space="preserve"> | $K_a$/M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苯</w:t>
      </w:r>
      <w:r>
        <w:rPr>
          <w:rStyle w:val="VerbatimChar"/>
          <w:rFonts w:ascii="SimSun" w:hAnsi="SimSun" w:eastAsia="SimSun" w:cs="SimSun"/>
        </w:rPr>
        <w:t xml:space="preserve"> | 5.8 | 120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萘</w:t>
      </w:r>
      <w:r>
        <w:rPr>
          <w:rStyle w:val="VerbatimChar"/>
          <w:rFonts w:ascii="SimSun" w:hAnsi="SimSun" w:eastAsia="SimSun" w:cs="SimSun"/>
        </w:rPr>
        <w:t xml:space="preserve"> | 7.5 | 850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蒽</w:t>
      </w:r>
      <w:r>
        <w:rPr>
          <w:rStyle w:val="VerbatimChar"/>
          <w:rFonts w:ascii="SimSun" w:hAnsi="SimSun" w:eastAsia="SimSun" w:cs="SimSun"/>
        </w:rPr>
        <w:t xml:space="preserve"> | 8.5 | 30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甲苯</w:t>
      </w:r>
      <w:r>
        <w:rPr>
          <w:rStyle w:val="VerbatimChar"/>
          <w:rFonts w:ascii="SimSun" w:hAnsi="SimSun" w:eastAsia="SimSun" w:cs="SimSun"/>
        </w:rPr>
        <w:t xml:space="preserve"> | 6.0 | 350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解释为什么萘的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最高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解释为什么蒽的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反而低于苯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预测在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的变化趋势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并解释原因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配体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 xml:space="preserve">类型</w:t>
      </w:r>
      <w:r>
        <w:rPr>
          <w:rStyle w:val="VerbatimChar"/>
          <w:rFonts w:ascii="SimSun" w:hAnsi="SimSun" w:eastAsia="SimSun" w:cs="SimSun"/>
        </w:rPr>
        <w:t xml:space="preserve"> | $K_a$(Na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 $K_a$(K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B | </w:t>
      </w:r>
      <w:r>
        <w:rPr>
          <w:rStyle w:val="VerbatimChar"/>
          <w:rFonts w:hint="eastAsia" w:ascii="SimSun" w:hAnsi="SimSun" w:eastAsia="SimSun" w:cs="SimSun"/>
        </w:rPr>
        <w:t>[15]</w:t>
      </w:r>
      <w:r>
        <w:rPr>
          <w:rStyle w:val="VerbatimChar"/>
          <w:rFonts w:hint="eastAsia" w:ascii="SimSun" w:hAnsi="SimSun" w:eastAsia="SimSun" w:cs="SimSun"/>
        </w:rPr>
        <w:t>冠</w:t>
      </w:r>
      <w:r>
        <w:rPr>
          <w:rStyle w:val="VerbatimChar"/>
          <w:rFonts w:hint="eastAsia" w:ascii="SimSun" w:hAnsi="SimSun" w:eastAsia="SimSun" w:cs="SimSun"/>
        </w:rPr>
        <w:t>-5</w:t>
      </w:r>
      <w:r>
        <w:rPr>
          <w:rStyle w:val="VerbatimChar"/>
          <w:rFonts w:ascii="SimSun" w:hAnsi="SimSun" w:eastAsia="SimSun" w:cs="SimSun"/>
        </w:rPr>
        <w:t xml:space="preserve"> | 6.3×10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|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C | </w:t>
      </w:r>
      <w:r>
        <w:rPr>
          <w:rStyle w:val="VerbatimChar"/>
          <w:rFonts w:hint="eastAsia" w:ascii="SimSun" w:hAnsi="SimSun" w:eastAsia="SimSun" w:cs="SimSun"/>
        </w:rPr>
        <w:t>[2.2.1]</w:t>
      </w:r>
      <w:r>
        <w:rPr>
          <w:rStyle w:val="VerbatimChar"/>
          <w:rFonts w:hint="eastAsia" w:ascii="SimSun" w:hAnsi="SimSun" w:eastAsia="SimSun" w:cs="SimSun"/>
        </w:rPr>
        <w:t>穴醚</w:t>
      </w:r>
      <w:r>
        <w:rPr>
          <w:rStyle w:val="VerbatimChar"/>
          <w:rFonts w:ascii="SimSun" w:hAnsi="SimSun" w:eastAsia="SimSun" w:cs="SimSun"/>
        </w:rPr>
        <w:t xml:space="preserve"> | 8.0×10</w:t>
      </w:r>
      <w:r>
        <w:rPr>
          <w:rStyle w:val="VerbatimChar"/>
          <w:rFonts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|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对</w:t>
      </w:r>
      <w:r>
        <w:rPr>
          <w:rStyle w:val="VerbatimChar"/>
          <w:rFonts w:ascii="SimSun" w:hAnsi="SimSun" w:eastAsia="SimSun" w:cs="SimSun"/>
        </w:rPr>
        <w:t xml:space="preserve"> 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的选择性比</w:t>
      </w:r>
      <w:r>
        <w:rPr>
          <w:rStyle w:val="VerbatimChar"/>
          <w:rFonts w:ascii="SimSun" w:hAnsi="SimSun" w:eastAsia="SimSun" w:cs="SimSun"/>
        </w:rPr>
        <w:t xml:space="preserve"> $K_{Na}/K_{K}$。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解释为什么穴醚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（8.0×10</w:t>
      </w:r>
      <w:r>
        <w:rPr>
          <w:rStyle w:val="VerbatimChar"/>
          <w:rFonts w:hint="eastAsia"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/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>400）</w:t>
      </w:r>
      <w:r>
        <w:rPr>
          <w:rStyle w:val="VerbatimChar"/>
          <w:rFonts w:hint="eastAsia" w:ascii="SimSun" w:hAnsi="SimSun" w:eastAsia="SimSun" w:cs="SimSun"/>
        </w:rPr>
        <w:t>远高于冠醚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（6.3×10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/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 xml:space="preserve">63）。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从预组织和大二环效应的角度解释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的绝对结合常数高于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2026-09-19T04:10:15Z</dcterms:created>
  <dcterms:modified xsi:type="dcterms:W3CDTF">2026-09-19T04:10:15Z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