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的专门注意事项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待测物是什么类型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还原性物质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自指示剂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需避免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干扰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法或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氧化性物质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淀粉终点加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弱还原剂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、As(III)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淀粉随时加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测卤素离子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且无干扰</w:t>
      </w:r>
      <w:r>
        <w:rPr>
          <w:rFonts w:ascii="Times New Roman" w:hAnsi="Times New Roman" w:eastAsia="Times New Roman" w:cs="Times New Roman"/>
        </w:rPr>
        <w:t xml:space="preserve"> → Mohr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有干扰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 xml:space="preserve">法返滴定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>法返滴定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（&gt;0.005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mol/L）→</w:t>
      </w:r>
      <w:r>
        <w:rPr>
          <w:rFonts w:ascii="Times New Roman" w:hAnsi="Times New Roman" w:eastAsia="Times New Roman" w:cs="Times New Roman"/>
        </w:rPr>
        <w:t xml:space="preserve"> Fajans </w:t>
      </w:r>
      <w:r>
        <w:rPr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2026-09-19T04:11:13Z</dcterms:created>
  <dcterms:modified xsi:type="dcterms:W3CDTF">2026-09-19T04:11:13Z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