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过渡态三个层面区分</w:t>
      </w:r>
      <w:r>
        <w:rPr>
          <w:rFonts w:ascii="Times New Roman" w:hAnsi="Times New Roman" w:eastAsia="Times New Roman" w:cs="Times New Roman"/>
        </w:rPr>
        <w:t xml:space="preserve"> SN1/SN2/E1/E2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的外消旋化过程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同一底物换试剂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后主路径切换的原因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产物的条件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能用反式共平面要求分析环己烷体系的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能识别邻基参与和碳正离子重排带来的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假例外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能用完整判断链解释陌生条件下的反应主路径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判断离去基能力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ascii="Times New Roman" w:hAnsi="Times New Roman" w:eastAsia="Times New Roman" w:cs="Times New Roman"/>
        </w:rPr>
        <w:t xml:space="preserve"> LG =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>机理特征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位吸电子基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差离去基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两步分步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[Nu···C···X]‡（</w:t>
      </w:r>
      <w:r>
        <w:rPr>
          <w:rFonts w:hint="eastAsia" w:ascii="Times New Roman" w:hAnsi="Times New Roman" w:eastAsia="FangSong" w:cs="Times New Roman"/>
        </w:rPr>
        <w:t>五配位三角双锥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>平面化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FangSong" w:cs="Times New Roman"/>
        </w:rPr>
        <w:t>被亲核试剂捕获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取代产物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FangSong" w:cs="Times New Roman"/>
        </w:rPr>
        <w:t>被碱夺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消除产物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新的碳正离子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初始碳正离子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50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>底物活性排序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例2-sn2-立体化学walden-翻转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587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2d6bdc07e33b4da24573b7e934189b92ac4cc162469bf460d189ca4a54fc323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5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3-e2-区域选择性zaitsev-vs-hofmann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上同时连</w:t>
      </w:r>
      <w:r>
        <w:rPr>
          <w:rFonts w:ascii="Times New Roman" w:hAnsi="Times New Roman" w:eastAsia="Times New Roman" w:cs="Times New Roman"/>
        </w:rPr>
        <w:t xml:space="preserve"> Br、CH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故有两个</w:t>
      </w:r>
      <w:r>
        <w:rPr>
          <w:rFonts w:hint="eastAsia" w:ascii="Times New Roman" w:hAnsi="Times New Roman" w:eastAsia="FangSong" w:cs="Times New Roman"/>
          <w:b/>
          <w:bCs/>
        </w:rPr>
        <w:t xml:space="preserve">不等价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（C-1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4-环己烷-e2-构象分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5-二级底物竞争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二级底物竞争判断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6-综合竞争产物反推机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拿到一个</w:t>
      </w:r>
      <w:r>
        <w:rPr>
          <w:rFonts w:ascii="Times New Roman" w:hAnsi="Times New Roman" w:eastAsia="Times New Roman" w:cs="Times New Roman"/>
        </w:rPr>
        <w:t xml:space="preserve"> RX + </w:t>
      </w:r>
      <w:r>
        <w:rPr>
          <w:rFonts w:hint="eastAsia" w:ascii="Times New Roman" w:hAnsi="Times New Roman" w:eastAsia="FangSong" w:cs="Times New Roman"/>
        </w:rPr>
        <w:t xml:space="preserve">条件题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看底物级数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首选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除非强碱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→E2）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2° → </w:t>
      </w:r>
      <w:r>
        <w:rPr>
          <w:rFonts w:hint="eastAsia" w:ascii="Times New Roman" w:hAnsi="Times New Roman" w:eastAsia="FangSong" w:cs="Times New Roman"/>
        </w:rPr>
        <w:t>竞争主战场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需看后续因子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SN1/E1/E2 </w:t>
      </w:r>
      <w:r>
        <w:rPr>
          <w:rFonts w:hint="eastAsia" w:ascii="Times New Roman" w:hAnsi="Times New Roman" w:eastAsia="FangSong" w:cs="Times New Roman"/>
        </w:rPr>
        <w:t xml:space="preserve">三选一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E2（Hofmann）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看底物和溶剂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3°）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看溶剂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减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DMF,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看温度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留取代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推消除</w:t>
      </w:r>
      <w:r>
        <w:rPr>
          <w:rFonts w:hint="eastAsia" w:ascii="Times New Roman" w:hAnsi="Times New Roman" w:eastAsia="Times New Roman" w:cs="Times New Roman"/>
        </w:rPr>
        <w:t>（ΔS‡(E)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ΔS‡(SN)）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构象修正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环己烷体系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a,a-</w:t>
      </w:r>
      <w:r>
        <w:rPr>
          <w:rFonts w:hint="eastAsia" w:ascii="Times New Roman" w:hAnsi="Times New Roman" w:eastAsia="FangSong" w:cs="Times New Roman"/>
        </w:rPr>
        <w:t>双轴才能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开链体系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投影检查</w:t>
      </w:r>
      <w:r>
        <w:rPr>
          <w:rFonts w:ascii="Times New Roman" w:hAnsi="Times New Roman" w:eastAsia="Times New Roman" w:cs="Times New Roman"/>
        </w:rPr>
        <w:t xml:space="preserve"> anti-periplanar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不能形成反式共平面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3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3"/>
    <w:bookmarkStart w:id="54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4"/>
    <w:bookmarkStart w:id="55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1"/>
  </w:num>
  <w:num w:numId="101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42" Type="http://schemas.openxmlformats.org/officeDocument/2006/relationships/image" Target="media/rId4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2026-09-19T04:11:50Z</dcterms:created>
  <dcterms:modified xsi:type="dcterms:W3CDTF">2026-09-19T04:11:50Z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