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离去基和底物类型快速识别最可能的中间体类型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能掌握碳正离子稳定性顺序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并解释重排倾向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能理解碳负离子稳定性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与烷基化反应中的控制策略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能区分卡宾的单线态与三线态结构及其对立体化学的影响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并认识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稳定卡宾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氮烯的延伸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能识别苯炔的生成条件与典型反应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能运用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>假说解释过渡态结构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区分中间体与过渡态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能在机理推导中运用同位素标记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（KIE）、</w:t>
      </w:r>
      <w:r>
        <w:rPr>
          <w:rFonts w:hint="eastAsia" w:ascii="Times New Roman" w:hAnsi="Times New Roman" w:eastAsia="FangSong" w:cs="Times New Roman"/>
        </w:rPr>
        <w:t>自由基钟等证据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6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3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烯丙基正离子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的两个等价极限式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⟷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苄基正离子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正电荷经共振离域到苯环邻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个极限式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Ph-CH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邻位带正电的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⟷ </w:t>
      </w:r>
      <w:r>
        <w:rPr>
          <w:rFonts w:hint="eastAsia" w:ascii="Times New Roman" w:hAnsi="Times New Roman" w:eastAsia="FangSong" w:cs="Times New Roman"/>
        </w:rPr>
        <w:t xml:space="preserve">对位带正电式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三苯甲基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个苯环轮流共轭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正电荷极度分散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可分离成稳定盐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8374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e508fe64a1548d947765b5955839b39182b089ea6e015a84f090c250f58a79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4"/>
    <w:bookmarkStart w:id="31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hint="eastAsia" w:ascii="Times New Roman" w:hAnsi="Times New Roman" w:eastAsia="FangSong" w:cs="Times New Roman"/>
        </w:rPr>
        <w:t>产生初始自由基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AIBN —Δ→ 2 R·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BPO —Δ→ 2 Ph· + 2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hint="eastAsia" w:ascii="Times New Roman" w:hAnsi="Times New Roman" w:eastAsia="FangSong" w:cs="Times New Roman"/>
        </w:rPr>
        <w:t>自由基消耗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Br· + R-H → HBr + R·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R·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R-Br + Br·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hint="eastAsia" w:ascii="Times New Roman" w:hAnsi="Times New Roman" w:eastAsia="FangSong" w:cs="Times New Roman"/>
        </w:rPr>
        <w:t>自由基消除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2 R· → R-H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 —ROOR→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，1-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31"/>
    <w:bookmarkStart w:id="35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102°）：</w:t>
      </w:r>
      <w:r>
        <w:rPr>
          <w:rFonts w:hint="eastAsia" w:ascii="Times New Roman" w:hAnsi="Times New Roman" w:eastAsia="FangSong" w:cs="Times New Roman"/>
        </w:rPr>
        <w:t>一对孤对电子占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轨道垂直于该平面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130–136°，</w:t>
      </w:r>
      <w:r>
        <w:rPr>
          <w:rFonts w:hint="eastAsia" w:ascii="Times New Roman" w:hAnsi="Times New Roman" w:eastAsia="FangSong" w:cs="Times New Roman"/>
        </w:rPr>
        <w:t>明显弯曲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两个单电子分占</w:t>
      </w:r>
      <w:r>
        <w:rPr>
          <w:rFonts w:ascii="Times New Roman" w:hAnsi="Times New Roman" w:eastAsia="Times New Roman" w:cs="Times New Roman"/>
        </w:rPr>
        <w:t xml:space="preserve"> px、py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类双自由基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构型部分外消旋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64923"/>
            <wp:effectExtent b="0" l="0" r="0" t="0"/>
            <wp:docPr descr="卡宾的单线态与三线态——电子排布与几何构型" title="" id="33" name="Picture"/>
            <a:graphic>
              <a:graphicData uri="http://schemas.openxmlformats.org/drawingml/2006/picture">
                <pic:pic>
                  <pic:nvPicPr>
                    <pic:cNvPr descr="c0dbb7ea42129064f309ebefb4fa5e9eb40e4fa16e3ce6225b42e0ea05d02b4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4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卡宾的单线态与三线态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单线态为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sp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102°），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一孤对电子占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一空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轨道垂直于平面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协同加成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构型保持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三线态键角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≈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130–150°，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两个单电子分占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瓣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分步加成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部分外消旋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7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Ar-Br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+ NaBr +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7"/>
    <w:bookmarkStart w:id="41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41"/>
    <w:bookmarkStart w:id="42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51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47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838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ebeef39f78c99406c4792989e0a6b0f3b764c00c32fa0da020d624c8818f55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8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7"/>
    <w:bookmarkStart w:id="48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9"/>
    <w:bookmarkStart w:id="50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8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52" w:name="例1-碳正离子稳定性比较与重排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碳正离子稳定性比较与重排判断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6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13"/>
        </w:numPr>
      </w:pPr>
    </w:p>
    <w:p>
      <w:pPr>
        <w:pStyle w:val="Compact"/>
        <w:numPr>
          <w:ilvl w:val="2"/>
          <w:numId w:val="1017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例2-碳负离子pka-判断与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判断与区域选择性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例3-自由基链反应过氧化物效应完整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RO-OR —Δ→ 2 </w:t>
      </w:r>
      <w:r>
        <w:rPr>
          <w:rFonts w:hint="eastAsia" w:ascii="Times New Roman" w:hAnsi="Times New Roman" w:eastAsia="Times New Roman" w:cs="Times New Roman"/>
        </w:rPr>
        <w:t>RO·（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RO· + H-Br → ROH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加在末端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 xml:space="preserve">生成的自由基在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H-Br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链继续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例4-卡宾单线态-vs-三线态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丁烯对两类卡宾的产物分流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:CH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（Simmons-Smith）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只生成顺式产物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不产生反式产物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三线态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:CH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光解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生成顺式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比例不定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例5-苯炔-vs-普通-snar-的分流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>的分流判断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例6-综合中间体识别-命运判断-产物预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产物预测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A→B：E2（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B→C：</w:t>
      </w:r>
      <w:r>
        <w:rPr>
          <w:rFonts w:hint="eastAsia" w:ascii="Times New Roman" w:hAnsi="Times New Roman" w:eastAsia="FangSong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自由基中间体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反马氏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C→D：SN2（1°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59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3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60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拿到一道反应题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看条件信号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碳正离子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α-H → </w:t>
      </w:r>
      <w:r>
        <w:rPr>
          <w:rFonts w:hint="eastAsia" w:ascii="Times New Roman" w:hAnsi="Times New Roman" w:eastAsia="FangSong" w:cs="Times New Roman"/>
        </w:rPr>
        <w:t xml:space="preserve">碳负离子</w:t>
      </w:r>
    </w:p>
    <w:p>
      <w:pPr>
        <w:pStyle w:val="Compact"/>
        <w:numPr>
          <w:ilvl w:val="2"/>
          <w:numId w:val="1026"/>
        </w:numPr>
      </w:pPr>
      <w:r>
        <w:rPr>
          <w:rFonts w:ascii="Times New Roman" w:hAnsi="Times New Roman" w:eastAsia="Times New Roman" w:cs="Times New Roman"/>
        </w:rPr>
        <w:t xml:space="preserve">hv / ROOR / AIBN → </w:t>
      </w:r>
      <w:r>
        <w:rPr>
          <w:rFonts w:hint="eastAsia" w:ascii="Times New Roman" w:hAnsi="Times New Roman" w:eastAsia="FangSong" w:cs="Times New Roman"/>
        </w:rPr>
        <w:t xml:space="preserve">自由基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重氮</w:t>
      </w:r>
      <w:r>
        <w:rPr>
          <w:rFonts w:ascii="Times New Roman" w:hAnsi="Times New Roman" w:eastAsia="Times New Roman" w:cs="Times New Roman"/>
        </w:rPr>
        <w:t xml:space="preserve"> / Zn(Cu)CH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卡宾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判中间体命运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能否重排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检查邻位可迁移基团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哪个位点进攻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链能持续吗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单线态还是三线态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协同还是分步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更稳定的碳负离子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写箭头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离子机理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双钩</w:t>
      </w:r>
      <w:r>
        <w:rPr>
          <w:rFonts w:ascii="Times New Roman" w:hAnsi="Times New Roman" w:eastAsia="Times New Roman" w:cs="Times New Roman"/>
        </w:rPr>
        <w:t xml:space="preserve"> ↷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鱼钩</w:t>
      </w:r>
      <w:r>
        <w:rPr>
          <w:rFonts w:ascii="Times New Roman" w:hAnsi="Times New Roman" w:eastAsia="Times New Roman" w:cs="Times New Roman"/>
        </w:rPr>
        <w:t xml:space="preserve"> ⤳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周环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电子圈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多对箭头</w:t>
      </w:r>
    </w:p>
    <w:bookmarkEnd w:id="60"/>
    <w:bookmarkStart w:id="61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61"/>
    <w:bookmarkStart w:id="62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7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64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64"/>
    <w:bookmarkStart w:id="65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65"/>
    <w:bookmarkStart w:id="66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7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1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68"/>
    <w:bookmarkStart w:id="6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9"/>
    <w:bookmarkStart w:id="70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综合挑战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Compact"/>
        <w:numPr>
          <w:ilvl w:val="0"/>
          <w:numId w:val="1036"/>
        </w:numPr>
      </w:pP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8"/>
        </w:numPr>
      </w:pP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</w:pP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0"/>
        </w:numPr>
      </w:pP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44" Type="http://schemas.openxmlformats.org/officeDocument/2006/relationships/image" Target="media/rId44.png"/><Relationship Id="rId25" Type="http://schemas.openxmlformats.org/officeDocument/2006/relationships/image" Target="media/rId25.jpg"/><Relationship Id="rId38" Type="http://schemas.openxmlformats.org/officeDocument/2006/relationships/image" Target="media/rId38.jpg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17" Type="http://schemas.openxmlformats.org/officeDocument/2006/relationships/image" Target="media/rId17.jpg"/><Relationship Id="rId32" Type="http://schemas.openxmlformats.org/officeDocument/2006/relationships/image" Target="media/rId3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2026-09-18T14:49:46Z</dcterms:created>
  <dcterms:modified xsi:type="dcterms:W3CDTF">2026-09-18T14:49:46Z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