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轨道与配对原子的轨道发生轴向重叠形成牢固的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的水合自由能有限</w:t>
      </w:r>
      <w:r>
        <w:rPr>
          <w:rFonts w:hint="eastAsia" w:ascii="Times New Roman" w:hAnsi="Times New Roman" w:eastAsia="Times New Roman" w:cs="Times New Roman"/>
        </w:rPr>
        <w:t>，</w:t>
      </w:r>
      <w:r>
        <w:rPr>
          <w:rFonts w:hint="eastAsia" w:ascii="Times New Roman" w:hAnsi="Times New Roman" w:eastAsia="FangSong" w:cs="Times New Roman"/>
        </w:rPr>
        <w:t>具有强烈的质子亲和力与还原驱动力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这一偏弱的</w:t>
      </w:r>
      <w:r>
        <w:rPr>
          <w:rFonts w:ascii="Times New Roman" w:hAnsi="Times New Roman" w:eastAsia="Times New Roman" w:cs="Times New Roman"/>
        </w:rPr>
        <w:t xml:space="preserve"> F—F </w:t>
      </w:r>
      <w:r>
        <w:rPr>
          <w:rFonts w:hint="eastAsia" w:ascii="Times New Roman" w:hAnsi="Times New Roman" w:eastAsia="FangSong" w:cs="Times New Roman"/>
        </w:rPr>
        <w:t>键使单质氟具有很高的化学热力学活性</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参与的大多数亲电取代或化合反应因而只有很小的活化势垒</w:t>
      </w:r>
      <w:r>
        <w:rPr>
          <w:rFonts w:hint="eastAsia" w:ascii="Times New Roman" w:hAnsi="Times New Roman" w:eastAsia="Times New Roman" w:cs="Times New Roman"/>
        </w:rPr>
        <w:t>，</w:t>
      </w:r>
      <w:r>
        <w:rPr>
          <w:rFonts w:hint="eastAsia" w:ascii="Times New Roman" w:hAnsi="Times New Roman" w:eastAsia="FangSong" w:cs="Times New Roman"/>
        </w:rPr>
        <w:t>却伴随很大的焓释放驱动力</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其化学性质在整个元素周期系中占据特殊位置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高有效核电荷使得氟具有很强的拉电子能力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w:r>
        <w:rPr>
          <w:rFonts w:hint="eastAsia" w:ascii="Times New Roman" w:hAnsi="Times New Roman" w:eastAsia="FangSong" w:cs="Times New Roman"/>
        </w:rPr>
        <w:t xml:space="preserve">由于氟气在水溶液中的标准氧化还原电势高达</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（Moissan</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纯液态</w:t>
      </w:r>
      <w:r>
        <w:rPr>
          <w:rFonts w:ascii="Times New Roman" w:hAnsi="Times New Roman" w:eastAsia="Times New Roman" w:cs="Times New Roman"/>
        </w:rPr>
        <w:t xml:space="preserve"> HF </w:t>
      </w:r>
      <w:r>
        <w:rPr>
          <w:rFonts w:hint="eastAsia" w:ascii="Times New Roman" w:hAnsi="Times New Roman" w:eastAsia="FangSong" w:cs="Times New Roman"/>
        </w:rPr>
        <w:t>自偶电离微弱</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后导电性大幅提高</w:t>
      </w:r>
      <w:r>
        <w:rPr>
          <w:rFonts w:hint="eastAsia" w:ascii="Times New Roman" w:hAnsi="Times New Roman" w:eastAsia="Times New Roman" w:cs="Times New Roman"/>
        </w:rPr>
        <w:t>，</w:t>
      </w:r>
      <w:r>
        <w:rPr>
          <w:rFonts w:hint="eastAsia" w:ascii="Times New Roman" w:hAnsi="Times New Roman" w:eastAsia="FangSong" w:cs="Times New Roman"/>
        </w:rPr>
        <w:t>工业配比约为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电解槽阴极用纯铁或蒙乃尔合金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若用普通石墨</w:t>
      </w:r>
      <w:r>
        <w:rPr>
          <w:rFonts w:hint="eastAsia" w:ascii="Times New Roman" w:hAnsi="Times New Roman" w:eastAsia="Times New Roman" w:cs="Times New Roman"/>
        </w:rPr>
        <w:t>，</w:t>
      </w:r>
      <w:r>
        <w:rPr>
          <w:rFonts w:hint="eastAsia" w:ascii="Times New Roman" w:hAnsi="Times New Roman" w:eastAsia="FangSong" w:cs="Times New Roman"/>
        </w:rPr>
        <w:t>氟会插入石墨层间生成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使电极膨胀粉化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阴极氢气与阳极氟气必须严格隔离</w:t>
      </w:r>
      <w:r>
        <w:rPr>
          <w:rFonts w:hint="eastAsia" w:ascii="Times New Roman" w:hAnsi="Times New Roman" w:eastAsia="Times New Roman" w:cs="Times New Roman"/>
        </w:rPr>
        <w:t>，</w:t>
      </w:r>
      <w:r>
        <w:rPr>
          <w:rFonts w:hint="eastAsia" w:ascii="Times New Roman" w:hAnsi="Times New Roman" w:eastAsia="FangSong" w:cs="Times New Roman"/>
        </w:rPr>
        <w:t>否则即使在低温无光条件下相遇也会自发化合爆炸</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rPr>
        <w:t>碘单质呈现出独特的特异性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3"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spacing w:after="80"/>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图判断中间氧化态物种能否自发歧化</w:t>
      </w:r>
      <w:r>
        <w:rPr>
          <w:rFonts w:hint="eastAsia" w:ascii="Times New Roman" w:hAnsi="Times New Roman" w:eastAsia="Times New Roman" w:cs="Times New Roman"/>
        </w:rPr>
        <w:t>，</w:t>
      </w:r>
      <w:r>
        <w:rPr>
          <w:rFonts w:hint="eastAsia" w:ascii="Times New Roman" w:hAnsi="Times New Roman" w:eastAsia="FangSong" w:cs="Times New Roman"/>
        </w:rPr>
        <w:t>基本法则是</w:t>
      </w:r>
      <w:r>
        <w:rPr>
          <w:rFonts w:hint="eastAsia" w:ascii="Times New Roman" w:hAnsi="Times New Roman" w:eastAsia="Times New Roman" w:cs="Times New Roman"/>
        </w:rPr>
        <w:t>：</w:t>
      </w:r>
      <w:r>
        <w:rPr>
          <w:rFonts w:hint="eastAsia" w:ascii="Times New Roman" w:hAnsi="Times New Roman" w:eastAsia="FangSong" w:cs="Times New Roman"/>
        </w:rPr>
        <w:t>若该物种右侧电对的标准电势大于左侧电对</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则它热力学上不稳定</w:t>
      </w:r>
      <w:r>
        <w:rPr>
          <w:rFonts w:hint="eastAsia" w:ascii="Times New Roman" w:hAnsi="Times New Roman" w:eastAsia="Times New Roman" w:cs="Times New Roman"/>
        </w:rPr>
        <w:t>，</w:t>
      </w:r>
      <w:r>
        <w:rPr>
          <w:rFonts w:hint="eastAsia" w:ascii="Times New Roman" w:hAnsi="Times New Roman" w:eastAsia="FangSong" w:cs="Times New Roman"/>
        </w:rPr>
        <w:t>必将自发歧化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自身稳定</w:t>
      </w:r>
      <w:r>
        <w:rPr>
          <w:rFonts w:hint="eastAsia" w:ascii="Times New Roman" w:hAnsi="Times New Roman" w:eastAsia="Times New Roman" w:cs="Times New Roman"/>
        </w:rPr>
        <w:t>，</w:t>
      </w:r>
      <w:r>
        <w:rPr>
          <w:rFonts w:hint="eastAsia" w:ascii="Times New Roman" w:hAnsi="Times New Roman" w:eastAsia="FangSong" w:cs="Times New Roman"/>
        </w:rPr>
        <w:t>两侧的高价态与低价态相遇反而发生归中反应</w:t>
      </w:r>
      <w:r>
        <w:rPr>
          <w:rFonts w:hint="eastAsia" w:ascii="Times New Roman" w:hAnsi="Times New Roman" w:eastAsia="Times New Roman" w:cs="Times New Roman"/>
        </w:rPr>
        <w:t>。</w:t>
      </w:r>
      <w:r>
        <w:rPr>
          <w:rFonts w:hint="eastAsia" w:ascii="Times New Roman" w:hAnsi="Times New Roman" w:eastAsia="FangSong" w:cs="Times New Roman"/>
        </w:rPr>
        <w:t>判据的来源是自由能的加和性</w:t>
      </w:r>
      <w:r>
        <w:rPr>
          <w:rFonts w:hint="eastAsia" w:ascii="Times New Roman" w:hAnsi="Times New Roman" w:eastAsia="Times New Roman" w:cs="Times New Roman"/>
        </w:rPr>
        <w:t>：</w:t>
      </w:r>
      <w:r>
        <w:rPr>
          <w:rFonts w:hint="eastAsia" w:ascii="Times New Roman" w:hAnsi="Times New Roman" w:eastAsia="FangSong" w:cs="Times New Roman"/>
        </w:rPr>
        <w:t>歧化反应的电池电动势为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即为自发的充分必要条件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1" name="Picture"/>
                  <a:graphic>
                    <a:graphicData uri="http://schemas.openxmlformats.org/drawingml/2006/picture">
                      <pic:pic>
                        <pic:nvPicPr>
                          <pic:cNvPr descr="63fc9697b2f28e7339f42dd2e855d7429dd9c2e6b3abf45a86549a1ede2237c4.jpg" id="32" name="Picture"/>
                          <pic:cNvPicPr>
                            <a:picLocks noChangeArrowheads="1" noChangeAspect="1"/>
                          </pic:cNvPicPr>
                        </pic:nvPicPr>
                        <pic:blipFill>
                          <a:blip r:embed="rId30"/>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bookmarkEnd w:id="33"/>
    <w:bookmarkStart w:id="34" w:name="frost-自由能-氧化态图"/>
    <w:p>
      <w:pPr>
        <w:pStyle w:val="Heading3"/>
        <w:spacing w:before="280" w:after="12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氧化态图给出了更直观的全景判据</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以相对标准自由能</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 xml:space="preserve">（</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其值正比于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为纵坐标作图</w:t>
      </w:r>
      <w:r>
        <w:rPr>
          <w:rFonts w:hint="eastAsia" w:ascii="Times New Roman" w:hAnsi="Times New Roman" w:eastAsia="Times New Roman" w:cs="Times New Roman"/>
        </w:rPr>
        <w:t>。</w:t>
      </w:r>
      <w:r>
        <w:rPr>
          <w:rFonts w:hint="eastAsia" w:ascii="Times New Roman" w:hAnsi="Times New Roman" w:eastAsia="FangSong" w:cs="Times New Roman"/>
        </w:rPr>
        <w:t>读图有两条规则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连接任意两点的弦线斜率即该两物种之间电对的标准电极电势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位于相邻两点连线上方的凸起顶点自由能偏高</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易自发向两侧歧化</w:t>
      </w:r>
      <w:r>
        <w:rPr>
          <w:rFonts w:hint="eastAsia" w:ascii="Times New Roman" w:hAnsi="Times New Roman" w:eastAsia="Times New Roman" w:cs="Times New Roman"/>
        </w:rPr>
        <w:t>，</w:t>
      </w:r>
      <w:r>
        <w:rPr>
          <w:rFonts w:hint="eastAsia" w:ascii="Times New Roman" w:hAnsi="Times New Roman" w:eastAsia="FangSong" w:cs="Times New Roman"/>
        </w:rPr>
        <w:t>位于下方的凹槽低谷则是稳定物种</w:t>
      </w:r>
      <w:r>
        <w:rPr>
          <w:rFonts w:hint="eastAsia" w:ascii="Times New Roman" w:hAnsi="Times New Roman" w:eastAsia="Times New Roman" w:cs="Times New Roman"/>
        </w:rPr>
        <w:t>，</w:t>
      </w:r>
      <w:r>
        <w:rPr>
          <w:rFonts w:hint="eastAsia" w:ascii="Times New Roman" w:hAnsi="Times New Roman" w:eastAsia="FangSong" w:cs="Times New Roman"/>
        </w:rPr>
        <w:t>两侧物种倾向向它归中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均处于连接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弦线的明显凸起位置</w:t>
      </w:r>
      <w:r>
        <w:rPr>
          <w:rFonts w:hint="eastAsia" w:ascii="Times New Roman" w:hAnsi="Times New Roman" w:eastAsia="Times New Roman" w:cs="Times New Roman"/>
        </w:rPr>
        <w:t>，</w:t>
      </w:r>
      <w:r>
        <w:rPr>
          <w:rFonts w:hint="eastAsia" w:ascii="Times New Roman" w:hAnsi="Times New Roman" w:eastAsia="FangSong" w:cs="Times New Roman"/>
        </w:rPr>
        <w:t>印证二者易自发歧化</w:t>
      </w:r>
      <w:r>
        <w:rPr>
          <w:rFonts w:hint="eastAsia" w:ascii="Times New Roman" w:hAnsi="Times New Roman" w:eastAsia="Times New Roman" w:cs="Times New Roman"/>
        </w:rPr>
        <w:t>；</w:t>
      </w:r>
      <w:r>
        <w:rPr>
          <w:rFonts w:hint="eastAsia" w:ascii="Times New Roman" w:hAnsi="Times New Roman" w:eastAsia="FangSong" w:cs="Times New Roman"/>
        </w:rPr>
        <w:t>碱性介质中全部含氧物种的能量线整体下移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的相对位置变化正说明碱液对歧化中间体的稳定化作用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分子通过较强的氢键缔合成为具有锯齿状折线拓扑的低聚多聚体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浓氟化氢水溶液中的酸性反常增大</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这类化合物存在规律性的结构递变与</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其动力学氧化速率亦迅速</w:t>
      </w:r>
      <w:r>
        <w:rPr>
          <w:rFonts w:hint="eastAsia" w:ascii="Times New Roman" w:hAnsi="Times New Roman" w:eastAsia="Times New Roman" w:cs="Times New Roman"/>
        </w:rPr>
        <w:t>，</w:t>
      </w:r>
      <w:r>
        <w:rPr>
          <w:rFonts w:hint="eastAsia" w:ascii="Times New Roman" w:hAnsi="Times New Roman" w:eastAsia="FangSong" w:cs="Times New Roman"/>
        </w:rPr>
        <w:t>迅速表现出漂白</w:t>
      </w:r>
      <w:r>
        <w:rPr>
          <w:rFonts w:hint="eastAsia" w:ascii="Times New Roman" w:hAnsi="Times New Roman" w:eastAsia="Times New Roman" w:cs="Times New Roman"/>
        </w:rPr>
        <w:t>、</w:t>
      </w:r>
      <w:r>
        <w:rPr>
          <w:rFonts w:hint="eastAsia" w:ascii="Times New Roman" w:hAnsi="Times New Roman" w:eastAsia="FangSong" w:cs="Times New Roman"/>
        </w:rPr>
        <w:t>杀菌与氧化作用</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的高度对称几何构型</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其氧化性才显著表现出来</w:t>
      </w:r>
      <w:r>
        <w:rPr>
          <w:rFonts w:hint="eastAsia" w:ascii="Times New Roman" w:hAnsi="Times New Roman" w:eastAsia="Times New Roman" w:cs="Times New Roman"/>
        </w:rPr>
        <w:t>，</w:t>
      </w:r>
      <w:r>
        <w:rPr>
          <w:rFonts w:hint="eastAsia" w:ascii="Times New Roman" w:hAnsi="Times New Roman" w:eastAsia="FangSong" w:cs="Times New Roman"/>
        </w:rPr>
        <w:t>甚至能氧化有机物</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及其盐长期缺失</w:t>
      </w:r>
      <w:r>
        <w:rPr>
          <w:rFonts w:hint="eastAsia" w:ascii="Times New Roman" w:hAnsi="Times New Roman" w:eastAsia="Times New Roman" w:cs="Times New Roman"/>
        </w:rPr>
        <w:t>，</w:t>
      </w:r>
      <w:r>
        <w:rPr>
          <w:rFonts w:hint="eastAsia" w:ascii="Times New Roman" w:hAnsi="Times New Roman" w:eastAsia="FangSong" w:cs="Times New Roman"/>
        </w:rPr>
        <w:t>是著名的次周期反常现象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第三周期的高氯酸与第五周期的高碘酸早已容易制备</w:t>
      </w:r>
      <w:r>
        <w:rPr>
          <w:rFonts w:hint="eastAsia" w:ascii="Times New Roman" w:hAnsi="Times New Roman" w:eastAsia="Times New Roman" w:cs="Times New Roman"/>
        </w:rPr>
        <w:t>，</w:t>
      </w:r>
      <w:r>
        <w:rPr>
          <w:rFonts w:hint="eastAsia" w:ascii="Times New Roman" w:hAnsi="Times New Roman" w:eastAsia="FangSong" w:cs="Times New Roman"/>
        </w:rPr>
        <w:t>而第四周期的高溴酸历经一个多世纪的尝试后才在</w:t>
      </w:r>
      <w:r>
        <w:rPr>
          <w:rFonts w:ascii="Times New Roman" w:hAnsi="Times New Roman" w:eastAsia="Times New Roman" w:cs="Times New Roman"/>
        </w:rPr>
        <w:t xml:space="preserve"> 1968 </w:t>
      </w:r>
      <w:r>
        <w:rPr>
          <w:rFonts w:hint="eastAsia" w:ascii="Times New Roman" w:hAnsi="Times New Roman" w:eastAsia="FangSong" w:cs="Times New Roman"/>
        </w:rPr>
        <w:t>年制得</w:t>
      </w:r>
      <w:r>
        <w:rPr>
          <w:rFonts w:hint="eastAsia" w:ascii="Times New Roman" w:hAnsi="Times New Roman" w:eastAsia="Times New Roman" w:cs="Times New Roman"/>
        </w:rPr>
        <w:t>。</w:t>
      </w:r>
      <w:r>
        <w:rPr>
          <w:rFonts w:hint="eastAsia" w:ascii="Times New Roman" w:hAnsi="Times New Roman" w:eastAsia="FangSong" w:cs="Times New Roman"/>
        </w:rPr>
        <w:t>其根源是</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电子的屏蔽效率较差</w:t>
      </w:r>
      <w:r>
        <w:rPr>
          <w:rFonts w:hint="eastAsia" w:ascii="Times New Roman" w:hAnsi="Times New Roman" w:eastAsia="Times New Roman" w:cs="Times New Roman"/>
        </w:rPr>
        <w:t>，</w:t>
      </w:r>
      <w:r>
        <w:rPr>
          <w:rFonts w:hint="eastAsia" w:ascii="Times New Roman" w:hAnsi="Times New Roman" w:eastAsia="FangSong" w:cs="Times New Roman"/>
        </w:rPr>
        <w:t>使第四周期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区价电子受到异常强的有效核电荷吸引而发生径向收缩</w:t>
      </w:r>
      <w:r>
        <w:rPr>
          <w:rFonts w:hint="eastAsia" w:ascii="Times New Roman" w:hAnsi="Times New Roman" w:eastAsia="Times New Roman" w:cs="Times New Roman"/>
        </w:rPr>
        <w:t>，</w:t>
      </w:r>
      <w:r>
        <w:rPr>
          <w:rFonts w:hint="eastAsia" w:ascii="Times New Roman" w:hAnsi="Times New Roman" w:eastAsia="FangSong" w:cs="Times New Roman"/>
        </w:rPr>
        <w:t>把溴的全部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个价电子激发成键所需的能量过高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实验室制备须用超强氧化剂在碱性介质中氧化溴酸盐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是富有理论特色的奇电子分子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体系总斥力最小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水溶液中其溶解度呈数百倍显著增大</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从而使得分子呈线型</w:t>
      </w:r>
      <w:r>
        <w:rPr>
          <w:rFonts w:hint="eastAsia" w:ascii="Times New Roman" w:hAnsi="Times New Roman" w:eastAsia="Times New Roman" w:cs="Times New Roman"/>
        </w:rPr>
        <w:t>（Linear，</w:t>
      </w:r>
      <w:r>
        <w:rPr>
          <w:rFonts w:hint="eastAsia" w:ascii="Times New Roman" w:hAnsi="Times New Roman" w:eastAsia="FangSong" w:cs="Times New Roman"/>
        </w:rPr>
        <w:t>对称中心位于中心碘核</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667000" cy="2346008"/>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667000" cy="23460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121507"/>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667000" cy="11215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水解歧化趋势以及与金属成盐的沉淀溶解行为均与真实卤素表现出显著的高度平行相似性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在化学机理上与上述反应在机理上完全对应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氢与卤素元素化学常作为推断大题的入口或氧化还原定量分析的计算主线</w:t>
      </w:r>
      <w:r>
        <w:rPr>
          <w:rFonts w:hint="eastAsia" w:ascii="Times New Roman" w:hAnsi="Times New Roman" w:eastAsia="Times New Roman" w:cs="Times New Roman"/>
        </w:rPr>
        <w:t>。</w:t>
      </w:r>
      <w:r>
        <w:rPr>
          <w:rFonts w:hint="eastAsia" w:ascii="Times New Roman" w:hAnsi="Times New Roman" w:eastAsia="FangSong" w:cs="Times New Roman"/>
        </w:rPr>
        <w:t>掌握提炼后的题眼与解题套路很有帮助</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该溶解度与配离子稳定常数的递变阶梯是无机离子混合液梯度鉴定的经典路线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缓慢冷却时溶液中析出金黄色片状晶体</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0" Type="http://schemas.openxmlformats.org/officeDocument/2006/relationships/image" Target="media/rId30.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2026-09-30T08:47:48Z</dcterms:created>
  <dcterms:modified xsi:type="dcterms:W3CDTF">2026-09-30T08:47:48Z</dcterms:modified>
</cp:coreProperties>
</file>

<file path=docProps/custom.xml><?xml version="1.0" encoding="utf-8"?>
<Properties xmlns="http://schemas.openxmlformats.org/officeDocument/2006/custom-properties" xmlns:vt="http://schemas.openxmlformats.org/officeDocument/2006/docPropsVTypes"/>
</file>