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SimSun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$T_d$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$D_{4h}$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SimSun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SimSun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SimSun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SimSun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SimSun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$d_{xy}$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$d_{xz}$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$d_{yz}$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背后其实是</w:t>
      </w:r>
      <w:r>
        <w:rPr>
          <w:rFonts w:hint="eastAsia" w:ascii="Times New Roman" w:hAnsi="Times New Roman" w:eastAsia="SimSun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SimSun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这张图对决赛特别有价值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SimSun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SimSun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SimSun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两根轴向键特别长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SimSun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49845"/>
            <wp:effectExtent b="0" l="0" r="0" t="0"/>
            <wp:docPr descr="520" title="" id="44" name="Picture"/>
            <a:graphic>
              <a:graphicData uri="http://schemas.openxmlformats.org/drawingml/2006/picture">
                <pic:pic>
                  <pic:nvPicPr>
                    <pic:cNvPr descr="519355a1d2963cb7e13a9958eec7d708e31bdb051cc89b8fc9b4c1355d39b56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配位键与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反馈键的协同机制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HOMO→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SimSun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-029-7-1-</w:t>
      </w:r>
      <w:r>
        <w:rPr>
          <w:rFonts w:hint="eastAsia" w:ascii="Times New Roman" w:hAnsi="Times New Roman" w:eastAsia="SimSun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SimSun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SimSun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和后续金属有机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其实是连着的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SimSun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这件事是</w:t>
      </w:r>
      <w:r>
        <w:rPr>
          <w:rFonts w:hint="eastAsia" w:ascii="Times New Roman" w:hAnsi="Times New Roman" w:eastAsia="SimSun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其实就是这部分的标准模型题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从更高一点的眼光看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反位效应其实也能接回前线轨道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SimSun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这类思路在高阶结构题和金属有机题里都非常有用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SimSun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SimSun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受体配体特别稳定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SimSun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SimSun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SimSun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$Δ$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SimSun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-029-7-1-</w:t>
            </w:r>
            <w:r>
              <w:rPr>
                <w:rFonts w:hint="eastAsia" w:ascii="Times New Roman" w:hAnsi="Times New Roman" w:eastAsia="SimSun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SimSun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SimSun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$t_{2g}^6e_g^3$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SimSun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SimSun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SimSun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SimSun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SimSun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SimSun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jp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2026-08-07T06:23:40Z</dcterms:created>
  <dcterms:modified xsi:type="dcterms:W3CDTF">2026-08-07T06:23:40Z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