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分子结构与化学键</w:t>
      </w:r>
      <w:r>
        <w:rPr>
          <w:rFonts w:ascii="Times New Roman" w:hAnsi="Times New Roman" w:eastAsia="Times New Roman" w:cs="Times New Roman"/>
        </w:rPr>
        <w:t xml:space="preserve"> · §22 </w:t>
      </w:r>
      <w:r>
        <w:rPr>
          <w:rFonts w:hint="eastAsia" w:ascii="Times New Roman" w:hAnsi="Times New Roman" w:eastAsia="FangSong" w:cs="Times New Roman"/>
        </w:rPr>
        <w:t xml:space="preserve">分子轨道理论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§10 </w:t>
            </w:r>
            <w:r>
              <w:rPr>
                <w:rFonts w:hint="eastAsia" w:ascii="Times New Roman" w:hAnsi="Times New Roman" w:eastAsia="FangSong" w:cs="Times New Roman"/>
              </w:rPr>
              <w:t xml:space="preserve">分子结构与化学键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μ=0；</w:t>
            </w: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§22 </w:t>
            </w: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2026-09-19T05:26:42Z</dcterms:created>
  <dcterms:modified xsi:type="dcterms:W3CDTF">2026-09-19T05:26:42Z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