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从经典模型到量子力学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能说出原子结构模型从</w:t>
            </w:r>
            <w:r>
              <w:rPr>
                <w:rFonts w:ascii="Times New Roman" w:hAnsi="Times New Roman" w:eastAsia="Times New Roman" w:cs="Times New Roman"/>
              </w:rPr>
              <w:t xml:space="preserve"> Dalton </w:t>
            </w:r>
            <w:r>
              <w:rPr>
                <w:rFonts w:hint="eastAsia" w:ascii="Times New Roman" w:hAnsi="Times New Roman" w:eastAsia="FangSong" w:cs="Times New Roman"/>
              </w:rPr>
              <w:t>到量子力学的关键发展节点及其实验依据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能复述</w:t>
            </w: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模型三假设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推导氢原子光谱公式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Balmer</w:t>
            </w:r>
            <w:r>
              <w:rPr>
                <w:rFonts w:hint="eastAsia" w:ascii="Times New Roman" w:hAnsi="Times New Roman" w:eastAsia="FangSong" w:cs="Times New Roman"/>
              </w:rPr>
              <w:t>系谱线波长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能用德布罗意关系式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计算实物粒子的波长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用测不准原理解释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概念的失效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能用四个量子数描述原子中电子的运动状态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判断量子数组的合法性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能写出薛定谔方程的一般形式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直角坐标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理解波函数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的概率诠释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电子排布与特例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hint="eastAsia" w:ascii="Times New Roman" w:hAnsi="Times New Roman" w:eastAsia="FangSong" w:cs="Times New Roman"/>
              </w:rPr>
              <w:t>不相容原理和</w:t>
            </w:r>
            <w:r>
              <w:rPr>
                <w:rFonts w:hint="eastAsia" w:ascii="Times New Roman" w:hAnsi="Times New Roman" w:eastAsia="Times New Roman" w:cs="Times New Roman"/>
              </w:rPr>
              <w:t>Hund</w:t>
            </w:r>
            <w:r>
              <w:rPr>
                <w:rFonts w:hint="eastAsia" w:ascii="Times New Roman" w:hAnsi="Times New Roman" w:eastAsia="FangSong" w:cs="Times New Roman"/>
              </w:rPr>
              <w:t>规则写出</w:t>
            </w:r>
            <w:r>
              <w:rPr>
                <w:rFonts w:hint="eastAsia" w:ascii="Times New Roman" w:hAnsi="Times New Roman" w:eastAsia="Times New Roman" w:cs="Times New Roman"/>
              </w:rPr>
              <w:t>Z≤54</w:t>
            </w:r>
            <w:r>
              <w:rPr>
                <w:rFonts w:hint="eastAsia" w:ascii="Times New Roman" w:hAnsi="Times New Roman" w:eastAsia="FangSong" w:cs="Times New Roman"/>
              </w:rPr>
              <w:t>元素及常见离子的基态电子排布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Cr、Cu</w:t>
            </w:r>
            <w:r>
              <w:rPr>
                <w:rFonts w:hint="eastAsia" w:ascii="Times New Roman" w:hAnsi="Times New Roman" w:eastAsia="FangSong" w:cs="Times New Roman"/>
              </w:rPr>
              <w:t>等元素电子排布特例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全满稳定化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并能迁移至</w:t>
            </w:r>
            <w:r>
              <w:rPr>
                <w:rFonts w:hint="eastAsia" w:ascii="Times New Roman" w:hAnsi="Times New Roman" w:eastAsia="Times New Roman" w:cs="Times New Roman"/>
              </w:rPr>
              <w:t>Mo、Ag、Pd</w:t>
            </w:r>
            <w:r>
              <w:rPr>
                <w:rFonts w:hint="eastAsia" w:ascii="Times New Roman" w:hAnsi="Times New Roman" w:eastAsia="FangSong" w:cs="Times New Roman"/>
              </w:rPr>
              <w:t>等特例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能区分离子失电子顺序与原子电子填充顺序的区别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正确写出过渡金属离子的排布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能级图与周期律衔接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规则计算指定电子的屏蔽常数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估算轨道能量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能读取</w:t>
            </w: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理解填充顺序与轨道真实能量的区别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能对照原子半径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解释周期律反常点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的定量变化解释同周期元素性质的递变规律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2026-09-19T05:26:55Z</dcterms:created>
  <dcterms:modified xsi:type="dcterms:W3CDTF">2026-09-19T05:26:55Z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