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能把配位题最核心的三条线串起来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分裂方式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三类场中的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并据此判断高低自旋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颜色与磁矩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等典型体系为什么偏离理想八面体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键如何决定光谱化学序列与配位场强弱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能用反位效应解释平面四方配合物的定向取代与顺反产物控制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金属键与真题衔接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金属多重键中的</w:t>
            </w:r>
            <w:r>
              <w:rPr>
                <w:rFonts w:ascii="Times New Roman" w:hAnsi="Times New Roman" w:eastAsia="Times New Roman" w:cs="Times New Roman"/>
              </w:rPr>
              <w:t xml:space="preserve"> σ + 2π + δ </w:t>
            </w:r>
            <w:r>
              <w:rPr>
                <w:rFonts w:hint="eastAsia" w:ascii="Times New Roman" w:hAnsi="Times New Roman" w:eastAsia="FangSong" w:cs="Times New Roman"/>
              </w:rPr>
              <w:t>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至少会解释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一类典型对象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能把这些工具直接接回近五年决赛和高质量真题中的配位结构题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2026-09-19T05:28:10Z</dcterms:created>
  <dcterms:modified xsi:type="dcterms:W3CDTF">2026-09-19T05:28:10Z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