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必修一-教案总览人教版必修第一册-2019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教案总览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人教版必修第一册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2019）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本页为</w:t>
      </w:r>
      <w:r>
        <w:rPr>
          <w:rFonts w:hint="eastAsia" w:ascii="Times New Roman" w:hAnsi="Times New Roman" w:eastAsia="FangSong" w:cs="Times New Roman"/>
          <w:b/>
          <w:bCs/>
        </w:rPr>
        <w:t xml:space="preserve">导航</w:t>
      </w:r>
      <w:r>
        <w:rPr>
          <w:rFonts w:ascii="Times New Roman" w:hAnsi="Times New Roman" w:eastAsia="Times New Roman" w:cs="Times New Roman"/>
          <w:b/>
          <w:bCs/>
        </w:rPr>
        <w:t xml:space="preserve"> hub </w:t>
      </w:r>
      <w:r>
        <w:rPr>
          <w:rFonts w:hint="eastAsia" w:ascii="Times New Roman" w:hAnsi="Times New Roman" w:eastAsia="FangSong" w:cs="Times New Roman"/>
          <w:b/>
          <w:bCs/>
        </w:rPr>
        <w:t>页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非课时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串联本目录下全部课时教案与章节文档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便于检索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跳转与整册打印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全套规模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章</w:t>
      </w:r>
      <w:r>
        <w:rPr>
          <w:rFonts w:ascii="Times New Roman" w:hAnsi="Times New Roman" w:eastAsia="Times New Roman" w:cs="Times New Roman"/>
          <w:b/>
          <w:bCs/>
        </w:rPr>
        <w:t xml:space="preserve"> · 30 </w:t>
      </w:r>
      <w:r>
        <w:rPr>
          <w:rFonts w:hint="eastAsia" w:ascii="Times New Roman" w:hAnsi="Times New Roman" w:eastAsia="FangSong" w:cs="Times New Roman"/>
          <w:b/>
          <w:bCs/>
        </w:rPr>
        <w:t xml:space="preserve">课时</w:t>
      </w:r>
      <w:r>
        <w:rPr>
          <w:rFonts w:ascii="Times New Roman" w:hAnsi="Times New Roman" w:eastAsia="Times New Roman" w:cs="Times New Roman"/>
          <w:b/>
          <w:bCs/>
        </w:rPr>
        <w:t xml:space="preserve"> · 12 </w:t>
      </w:r>
      <w:r>
        <w:rPr>
          <w:rFonts w:hint="eastAsia" w:ascii="Times New Roman" w:hAnsi="Times New Roman" w:eastAsia="FangSong" w:cs="Times New Roman"/>
          <w:b/>
          <w:bCs/>
        </w:rPr>
        <w:t xml:space="preserve">份章节文档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每章配套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教材分析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学情分析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知识体系与概念关联图</w:t>
      </w:r>
      <w:r>
        <w:rPr>
          <w:rFonts w:hint="eastAsia" w:ascii="Times New Roman" w:hAnsi="Times New Roman" w:eastAsia="Times New Roman" w:cs="Times New Roman"/>
        </w:rPr>
        <w:t>”3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使用方式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先读各章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教材分析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再依次打开课时教案备课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知识体系与概念关联图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建议配合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知识主线总图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必修一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高频易错点手册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同步研读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一全套结构图mermaid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全套结构图</w:t>
      </w:r>
      <w:r>
        <w:rPr>
          <w:rFonts w:hint="eastAsia" w:ascii="Times New Roman" w:hAnsi="Times New Roman" w:eastAsia="Times New Roman" w:cs="Times New Roman"/>
        </w:rPr>
        <w:t>（Mermaid）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</w:t>
      </w:r>
      <w:r>
        <w:rPr>
          <w:rFonts w:ascii="Times New Roman" w:hAnsi="Times New Roman" w:eastAsia="Times New Roman" w:cs="Times New Roman"/>
          <w:b/>
          <w:bCs/>
        </w:rPr>
        <w:t xml:space="preserve"> Mermaid </w:t>
      </w:r>
      <w:r>
        <w:rPr>
          <w:rFonts w:hint="eastAsia" w:ascii="Times New Roman" w:hAnsi="Times New Roman" w:eastAsia="FangSong" w:cs="Times New Roman"/>
          <w:b/>
          <w:bCs/>
        </w:rPr>
        <w:t>图示</w:t>
      </w:r>
      <w:r>
        <w:rPr>
          <w:rFonts w:hint="eastAsia" w:ascii="Times New Roman" w:hAnsi="Times New Roman" w:eastAsia="Times New Roman" w:cs="Times New Roman"/>
          <w:b/>
          <w:bCs/>
        </w:rPr>
        <w:t>（Word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不支持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已转写为层级大纲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教案体系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物质及其变化</w:t>
      </w:r>
    </w:p>
    <w:p>
      <w:pPr>
        <w:pStyle w:val="Compact"/>
        <w:numPr>
          <w:ilvl w:val="2"/>
          <w:numId w:val="1003"/>
        </w:numPr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FangSong" w:cs="Times New Roman"/>
        </w:rPr>
        <w:t xml:space="preserve">物质的分类及转化</w:t>
      </w:r>
    </w:p>
    <w:p>
      <w:pPr>
        <w:pStyle w:val="Compact"/>
        <w:numPr>
          <w:ilvl w:val="2"/>
          <w:numId w:val="1003"/>
        </w:numPr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FangSong" w:cs="Times New Roman"/>
        </w:rPr>
        <w:t xml:space="preserve">分散系与胶体</w:t>
      </w:r>
    </w:p>
    <w:p>
      <w:pPr>
        <w:pStyle w:val="Compact"/>
        <w:numPr>
          <w:ilvl w:val="2"/>
          <w:numId w:val="1003"/>
        </w:numPr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FangSong" w:cs="Times New Roman"/>
        </w:rPr>
        <w:t xml:space="preserve">电解质的电离与离子反应</w:t>
      </w:r>
    </w:p>
    <w:p>
      <w:pPr>
        <w:pStyle w:val="Compact"/>
        <w:numPr>
          <w:ilvl w:val="2"/>
          <w:numId w:val="1003"/>
        </w:numPr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概念与规律</w:t>
      </w:r>
    </w:p>
    <w:p>
      <w:pPr>
        <w:pStyle w:val="Compact"/>
        <w:numPr>
          <w:ilvl w:val="2"/>
          <w:numId w:val="1003"/>
        </w:numPr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FangSong" w:cs="Times New Roman"/>
        </w:rPr>
        <w:t xml:space="preserve">氧化还原反应方程式的配平与计算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教材分析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学情分析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知识体系与概念关联图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钠和氯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FangSong" w:cs="Times New Roman"/>
        </w:rPr>
        <w:t xml:space="preserve">钠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钠的氧化物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FangSong" w:cs="Times New Roman"/>
        </w:rPr>
        <w:t xml:space="preserve">碳酸钠和碳酸氢钠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FangSong" w:cs="Times New Roman"/>
        </w:rPr>
        <w:t xml:space="preserve">氯气的性质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>氯气的实验室制法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氯离子检验与卤素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FangSong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摩尔质量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气体摩尔体积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FangSong" w:cs="Times New Roman"/>
        </w:rPr>
        <w:t xml:space="preserve">物质的量浓度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FangSong" w:cs="Times New Roman"/>
        </w:rPr>
        <w:t xml:space="preserve">一定物质的量浓度溶液的配制</w:t>
      </w:r>
    </w:p>
    <w:p>
      <w:pPr>
        <w:pStyle w:val="Compact"/>
        <w:numPr>
          <w:ilvl w:val="2"/>
          <w:numId w:val="1004"/>
        </w:numPr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FangSong" w:cs="Times New Roman"/>
        </w:rPr>
        <w:t xml:space="preserve">物质的量在化学计算中的应用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教材分析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学情分析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知识体系与概念关联图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金属材料</w:t>
      </w:r>
    </w:p>
    <w:p>
      <w:pPr>
        <w:pStyle w:val="Compact"/>
        <w:numPr>
          <w:ilvl w:val="2"/>
          <w:numId w:val="1005"/>
        </w:numPr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FangSong" w:cs="Times New Roman"/>
        </w:rPr>
        <w:t xml:space="preserve">铁的单质</w:t>
      </w:r>
    </w:p>
    <w:p>
      <w:pPr>
        <w:pStyle w:val="Compact"/>
        <w:numPr>
          <w:ilvl w:val="2"/>
          <w:numId w:val="1005"/>
        </w:numPr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FangSong" w:cs="Times New Roman"/>
        </w:rPr>
        <w:t xml:space="preserve">铁的氧化物与氢氧化物</w:t>
      </w:r>
    </w:p>
    <w:p>
      <w:pPr>
        <w:pStyle w:val="Compact"/>
        <w:numPr>
          <w:ilvl w:val="2"/>
          <w:numId w:val="1005"/>
        </w:numPr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FangSong" w:cs="Times New Roman"/>
        </w:rPr>
        <w:t xml:space="preserve">铁盐与亚铁盐</w:t>
      </w:r>
    </w:p>
    <w:p>
      <w:pPr>
        <w:pStyle w:val="Compact"/>
        <w:numPr>
          <w:ilvl w:val="2"/>
          <w:numId w:val="1005"/>
        </w:numPr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FangSong" w:cs="Times New Roman"/>
        </w:rPr>
        <w:t xml:space="preserve">合金</w:t>
      </w:r>
    </w:p>
    <w:p>
      <w:pPr>
        <w:pStyle w:val="Compact"/>
        <w:numPr>
          <w:ilvl w:val="2"/>
          <w:numId w:val="1005"/>
        </w:numPr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FangSong" w:cs="Times New Roman"/>
        </w:rPr>
        <w:t xml:space="preserve">铝单质与氧化铝</w:t>
      </w:r>
    </w:p>
    <w:p>
      <w:pPr>
        <w:pStyle w:val="Compact"/>
        <w:numPr>
          <w:ilvl w:val="2"/>
          <w:numId w:val="1005"/>
        </w:numPr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FangSong" w:cs="Times New Roman"/>
        </w:rPr>
        <w:t xml:space="preserve">氢氧化铝与铝三角</w:t>
      </w:r>
    </w:p>
    <w:p>
      <w:pPr>
        <w:pStyle w:val="Compact"/>
        <w:numPr>
          <w:ilvl w:val="2"/>
          <w:numId w:val="1005"/>
        </w:numPr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FangSong" w:cs="Times New Roman"/>
        </w:rPr>
        <w:t xml:space="preserve">新型金属材料与本章整合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教材分析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学情分析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知识体系与概念关联图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元素周期律</w:t>
      </w:r>
    </w:p>
    <w:p>
      <w:pPr>
        <w:pStyle w:val="Compact"/>
        <w:numPr>
          <w:ilvl w:val="2"/>
          <w:numId w:val="1006"/>
        </w:numPr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FangSong" w:cs="Times New Roman"/>
        </w:rPr>
        <w:t xml:space="preserve">原子结构</w:t>
      </w:r>
    </w:p>
    <w:p>
      <w:pPr>
        <w:pStyle w:val="Compact"/>
        <w:numPr>
          <w:ilvl w:val="2"/>
          <w:numId w:val="1006"/>
        </w:numPr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FangSong" w:cs="Times New Roman"/>
        </w:rPr>
        <w:t xml:space="preserve">核素与同位素</w:t>
      </w:r>
    </w:p>
    <w:p>
      <w:pPr>
        <w:pStyle w:val="Compact"/>
        <w:numPr>
          <w:ilvl w:val="2"/>
          <w:numId w:val="1006"/>
        </w:numPr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FangSong" w:cs="Times New Roman"/>
        </w:rPr>
        <w:t xml:space="preserve">元素周期表</w:t>
      </w:r>
    </w:p>
    <w:p>
      <w:pPr>
        <w:pStyle w:val="Compact"/>
        <w:numPr>
          <w:ilvl w:val="2"/>
          <w:numId w:val="1006"/>
        </w:numPr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FangSong" w:cs="Times New Roman"/>
        </w:rPr>
        <w:t xml:space="preserve">元素周期律</w:t>
      </w:r>
    </w:p>
    <w:p>
      <w:pPr>
        <w:pStyle w:val="Compact"/>
        <w:numPr>
          <w:ilvl w:val="2"/>
          <w:numId w:val="1006"/>
        </w:numPr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FangSong" w:cs="Times New Roman"/>
        </w:rPr>
        <w:t xml:space="preserve">第三周期元素性质递变探究与周期律本质</w:t>
      </w:r>
    </w:p>
    <w:p>
      <w:pPr>
        <w:pStyle w:val="Compact"/>
        <w:numPr>
          <w:ilvl w:val="2"/>
          <w:numId w:val="1006"/>
        </w:numPr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FangSong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离子键与电子式</w:t>
      </w:r>
    </w:p>
    <w:p>
      <w:pPr>
        <w:pStyle w:val="Compact"/>
        <w:numPr>
          <w:ilvl w:val="2"/>
          <w:numId w:val="1006"/>
        </w:numPr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FangSong" w:cs="Times New Roman"/>
        </w:rPr>
        <w:t xml:space="preserve">共价键与电子式</w:t>
      </w:r>
    </w:p>
    <w:p>
      <w:pPr>
        <w:pStyle w:val="Compact"/>
        <w:numPr>
          <w:ilvl w:val="2"/>
          <w:numId w:val="1006"/>
        </w:numPr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FangSong" w:cs="Times New Roman"/>
        </w:rPr>
        <w:t xml:space="preserve">分子间作用力与氢键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教材分析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学情分析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知识体系与概念关联图</w:t>
      </w:r>
    </w:p>
    <w:bookmarkEnd w:id="9"/>
    <w:bookmarkStart w:id="14" w:name="二按章分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按章分表</w:t>
      </w:r>
    </w:p>
    <w:bookmarkStart w:id="10" w:name="第一章-物质及其变化5-课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一句话定位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跳转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树状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交叉分类法与物质转化关系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奠定分类观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分散系与胶体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分散系分类与胶体性质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丁达尔效应辨析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 </w:t>
            </w:r>
            <w:r>
              <w:rPr>
                <w:rFonts w:hint="eastAsia" w:ascii="Times New Roman" w:hAnsi="Times New Roman" w:eastAsia="FangSong" w:cs="Times New Roman"/>
              </w:rPr>
              <w:t xml:space="preserve">分散系与胶体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离子方程式书写与离子共存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化合价升降判氧化还原与价态变化规律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氧化还原反应方程式的配平与计算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得失电子守恒配平与氧化数相关计算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氧化还原反应方程式的配平与计算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本章配套章节文档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学情分析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知识体系与概念关联图</w:t>
      </w:r>
    </w:p>
    <w:bookmarkEnd w:id="10"/>
    <w:bookmarkStart w:id="11" w:name="第二章-钠和氯10-课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一句话定位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跳转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碱金属代表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单质活泼性与保存方法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钠的氧化物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性质对比与相互转化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 </w:t>
            </w:r>
            <w:r>
              <w:rPr>
                <w:rFonts w:hint="eastAsia" w:ascii="Times New Roman" w:hAnsi="Times New Roman" w:eastAsia="FangSong" w:cs="Times New Roman"/>
              </w:rPr>
              <w:t xml:space="preserve">钠的氧化物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两盐性质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鉴别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转化与生产生活用途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卤素代表单质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强氧化性与歧化反应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氯气的实验室制法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氯离子检验与卤素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制取法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检验与卤素性质递变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>氯气的实验室制法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氯离子检验与卤素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计量桥梁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的定义与摩尔质量换算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标况下</w:t>
            </w:r>
            <w:r>
              <w:rPr>
                <w:rFonts w:ascii="Times New Roman" w:hAnsi="Times New Roman" w:eastAsia="Times New Roman" w:cs="Times New Roman"/>
              </w:rPr>
              <w:t xml:space="preserve"> Vm </w:t>
            </w:r>
            <w:r>
              <w:rPr>
                <w:rFonts w:hint="eastAsia" w:ascii="Times New Roman" w:hAnsi="Times New Roman" w:eastAsia="FangSong" w:cs="Times New Roman"/>
              </w:rPr>
              <w:t xml:space="preserve">概念与阿伏加德罗定律应用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 </w:t>
            </w: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的定义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溶液浓度换算与稀释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一定物质的量浓度溶液的配制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容量瓶配制步骤与误差分析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 </w:t>
            </w:r>
            <w:r>
              <w:rPr>
                <w:rFonts w:hint="eastAsia" w:ascii="Times New Roman" w:hAnsi="Times New Roman" w:eastAsia="FangSong" w:cs="Times New Roman"/>
              </w:rPr>
              <w:t xml:space="preserve">一定物质的量浓度溶液的配制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物质的量在化学计算中的应用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关系式法与守恒法综合计算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物质的量在化学计算中的应用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本章配套章节文档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学情分析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知识体系与概念关联图</w:t>
      </w:r>
    </w:p>
    <w:bookmarkEnd w:id="11"/>
    <w:bookmarkStart w:id="12" w:name="第三章-铁-金属材料7-课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一句话定位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跳转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铁在周期表位置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单质性质与冶炼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铁的氧化物与氢氧化物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FeO/Fe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与氢氧化物转化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</w:t>
            </w:r>
            <w:r>
              <w:rPr>
                <w:rFonts w:hint="eastAsia" w:ascii="Times New Roman" w:hAnsi="Times New Roman" w:eastAsia="FangSong" w:cs="Times New Roman"/>
              </w:rPr>
              <w:t xml:space="preserve">铁的氧化物与氢氧化物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检验与除杂提纯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合金特性与常见金属材料的选用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 </w:t>
            </w: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铝的两性与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的耐火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电解用途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 </w:t>
            </w: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两性氢氧化物与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新型金属材料与本章整合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新材料简介与铁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铝性质整合提升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 </w:t>
            </w:r>
            <w:r>
              <w:rPr>
                <w:rFonts w:hint="eastAsia" w:ascii="Times New Roman" w:hAnsi="Times New Roman" w:eastAsia="FangSong" w:cs="Times New Roman"/>
              </w:rPr>
              <w:t xml:space="preserve">新型金属材料与本章整合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本章配套章节文档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学情分析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知识体系与概念关联图</w:t>
      </w:r>
    </w:p>
    <w:bookmarkEnd w:id="12"/>
    <w:bookmarkStart w:id="13" w:name="第四章-物质结构-元素周期律8-课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一句话定位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跳转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原子核外电子排布与能层能级初步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核素与同位素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核素与同位素概念辨析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 </w:t>
            </w:r>
            <w:r>
              <w:rPr>
                <w:rFonts w:hint="eastAsia" w:ascii="Times New Roman" w:hAnsi="Times New Roman" w:eastAsia="FangSong" w:cs="Times New Roman"/>
              </w:rPr>
              <w:t xml:space="preserve">核素与同位素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周期表结构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分区与位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金属性非金属性递变规律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第三周期元素性质递变探究与周期律本质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实验探究递变并揭示周期律本质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 </w:t>
            </w:r>
            <w:r>
              <w:rPr>
                <w:rFonts w:hint="eastAsia" w:ascii="Times New Roman" w:hAnsi="Times New Roman" w:eastAsia="FangSong" w:cs="Times New Roman"/>
              </w:rPr>
              <w:t xml:space="preserve">第三周期元素性质递变探究与周期律本质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离子键形成与电子式规范书写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</w:t>
            </w: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离子键与电子式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共价键类型与共价分子电子式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共价键与电子式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氢键对物质性质的影响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本章配套章节文档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学情分析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知识体系与概念关联图</w:t>
      </w:r>
    </w:p>
    <w:bookmarkEnd w:id="13"/>
    <w:bookmarkEnd w:id="14"/>
    <w:bookmarkStart w:id="15" w:name="三全册课时统计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全册课时统计表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章节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章名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章节文档数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物质及其变化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钠和氯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第四章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物质结构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全册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、12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份章节文档均为目录实际提取结果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非预设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30，</w:t>
      </w:r>
      <w:r>
        <w:rPr>
          <w:rFonts w:hint="eastAsia" w:ascii="Times New Roman" w:hAnsi="Times New Roman" w:eastAsia="FangSong" w:cs="Times New Roman"/>
        </w:rPr>
        <w:t>而是真实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30）。</w:t>
      </w:r>
    </w:p>
    <w:bookmarkEnd w:id="15"/>
    <w:bookmarkStart w:id="16" w:name="四配套可视化文档索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配套可视化文档索引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知识主线总图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价态观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定量观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位构性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串联四章核心概念的主线脉络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用于单元统整与复习导航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高频易错点手册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汇总全书易混点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换算等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用于备课避坑与考前强化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End w:id="1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2026-09-05T16:46:14Z</dcterms:created>
  <dcterms:modified xsi:type="dcterms:W3CDTF">2026-09-05T16:46:14Z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