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有机物结构的表达</w:t>
      </w:r>
      <w:r>
        <w:rPr>
          <w:rFonts w:ascii="Times New Roman" w:hAnsi="Times New Roman" w:eastAsia="Times New Roman" w:cs="Times New Roman"/>
        </w:rPr>
        <w:t xml:space="preserve"> · §26 </w:t>
      </w:r>
      <w:r>
        <w:rPr>
          <w:rFonts w:hint="eastAsia" w:ascii="Times New Roman" w:hAnsi="Times New Roman" w:eastAsia="FangSong" w:cs="Times New Roman"/>
        </w:rPr>
        <w:t xml:space="preserve">有机物的命名</w:t>
      </w:r>
      <w:r>
        <w:rPr>
          <w:rFonts w:ascii="Times New Roman" w:hAnsi="Times New Roman" w:eastAsia="Times New Roman" w:cs="Times New Roman"/>
        </w:rPr>
        <w:t xml:space="preserve"> · §27 </w:t>
      </w:r>
      <w:r>
        <w:rPr>
          <w:rFonts w:hint="eastAsia" w:ascii="Times New Roman" w:hAnsi="Times New Roman" w:eastAsia="FangSong" w:cs="Times New Roman"/>
        </w:rPr>
        <w:t xml:space="preserve">有机物的手性</w:t>
      </w:r>
      <w:r>
        <w:rPr>
          <w:rFonts w:ascii="Times New Roman" w:hAnsi="Times New Roman" w:eastAsia="Times New Roman" w:cs="Times New Roman"/>
        </w:rPr>
        <w:t xml:space="preserve"> · §28 </w:t>
      </w:r>
      <w:r>
        <w:rPr>
          <w:rFonts w:hint="eastAsia" w:ascii="Times New Roman" w:hAnsi="Times New Roman" w:eastAsia="FangSong" w:cs="Times New Roman"/>
        </w:rPr>
        <w:t xml:space="preserve">有机物结构的稳定性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类别判断与异构体数目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能根据分子式判断有机物的类别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官能团和可能的异构体数目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键线式与结构互译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能熟练使用键线式表示有机物结构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并完成键线式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结构简式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分子式的互译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§26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有机物的命名</w:t>
            </w:r>
            <w:r>
              <w:rPr>
                <w:rFonts w:ascii="Times New Roman" w:hAnsi="Times New Roman" w:eastAsia="Times New Roman" w:cs="Times New Roman"/>
              </w:rPr>
              <w:t xml:space="preserve"> · IUPAC </w:t>
            </w:r>
            <w:r>
              <w:rPr>
                <w:rFonts w:hint="eastAsia" w:ascii="Times New Roman" w:hAnsi="Times New Roman" w:eastAsia="FangSong" w:cs="Times New Roman"/>
              </w:rPr>
              <w:t xml:space="preserve">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IUPAC </w:t>
            </w:r>
            <w:r>
              <w:rPr>
                <w:rFonts w:hint="eastAsia" w:ascii="Times New Roman" w:hAnsi="Times New Roman" w:eastAsia="FangSong" w:cs="Times New Roman"/>
              </w:rPr>
              <w:t>系统命名法命名常见有机化合物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含立体化学标记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手性碳与</w:t>
            </w:r>
            <w:r>
              <w:rPr>
                <w:rFonts w:ascii="Times New Roman" w:hAnsi="Times New Roman" w:eastAsia="Times New Roman" w:cs="Times New Roman"/>
              </w:rPr>
              <w:t xml:space="preserve"> R/S </w:t>
            </w:r>
            <w:r>
              <w:rPr>
                <w:rFonts w:hint="eastAsia" w:ascii="Times New Roman" w:hAnsi="Times New Roman" w:eastAsia="FangSong" w:cs="Times New Roman"/>
              </w:rP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能判断含手性碳原子的分子是否具有手性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R/S </w:t>
            </w:r>
            <w:r>
              <w:rPr>
                <w:rFonts w:hint="eastAsia" w:ascii="Times New Roman" w:hAnsi="Times New Roman" w:eastAsia="FangSong" w:cs="Times New Roman"/>
              </w:rPr>
              <w:t xml:space="preserve">标记构型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§28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有机物结构的稳定性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能用诱导效应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超共轭效应解释酸碱性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稳定性和反应活性的定性规律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6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5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键线式是竞赛书写答案的标准形式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9610" cy="16679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54a58a59cbde9af9f01928c0134de1268dfa39b2b7363f4e4520e91cf2f5650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610" cy="1667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8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
    -$\mathrm{CH}_3$ &gt; -$\mathrm{CH}_2\mathrm{R}$ &gt; -$\mathrm{CHR}_2$ &gt; -$\mathrm{CR}_3$
    $$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9908"/>
            <wp:effectExtent b="0" l="0" r="0" t="0"/>
            <wp:docPr descr="羧酸根的两个等价极限式（共振杂化体）" title="" id="32" name="Picture"/>
            <a:graphic>
              <a:graphicData uri="http://schemas.openxmlformats.org/drawingml/2006/picture">
                <pic:pic>
                  <pic:nvPicPr>
                    <pic:cNvPr descr="7562fc487fbc3fb3dd66d7c7aa2e528e9ea98bfaf3ddde424ff52ffe17db579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羧酸根的两个等价极限式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C–O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键完全等价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1.5），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负电荷在两个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上等分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两者用双箭头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⟷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真实结构是二者的共振杂化体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7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7"/>
    <w:bookmarkStart w:id="38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Start w:id="39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比较两个酸的强度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看解离后负电荷的稳定性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共轭能使负电荷分散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COOH）</w:t>
      </w: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Fonts w:ascii="Times New Roman" w:hAnsi="Times New Roman" w:eastAsia="Times New Roman" w:cs="Times New Roman"/>
        </w:rPr>
        <w:t xml:space="preserve"> → HI &gt; HBr &gt; HCl &gt; HF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异构体数目判断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异构体数目判断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rs构型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手性与内消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手性与内消旋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诱导与共轭的竞争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诱导与共轭的竞争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共轭效应的贯穿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共轭效应的贯穿性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9"/>
    <w:bookmarkStart w:id="5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53"/>
    <w:bookmarkStart w:id="5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54"/>
    <w:bookmarkStart w:id="5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见键线式标准画法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7"/>
    <w:bookmarkEnd w:id="5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1"/>
  </w:num>
  <w:num w:numId="1021">
    <w:abstractNumId w:val="991"/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7" Type="http://schemas.openxmlformats.org/officeDocument/2006/relationships/image" Target="media/rId27.png"/><Relationship Id="rId22" Type="http://schemas.openxmlformats.org/officeDocument/2006/relationships/image" Target="media/rId22.png"/><Relationship Id="rId18" Type="http://schemas.openxmlformats.org/officeDocument/2006/relationships/image" Target="media/rId18.jpg"/><Relationship Id="rId31" Type="http://schemas.openxmlformats.org/officeDocument/2006/relationships/image" Target="media/rId31.pn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2026-09-19T05:52:13Z</dcterms:created>
  <dcterms:modified xsi:type="dcterms:W3CDTF">2026-09-19T05:52:13Z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