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第一轮结构化学-元素周期律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元素周期律</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79"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X、Y、Z、W </w:t>
      </w:r>
      <w:r>
        <w:rPr>
          <w:rFonts w:hint="eastAsia" w:ascii="Times New Roman" w:hAnsi="Times New Roman" w:eastAsia="FangSong" w:cs="Times New Roman"/>
        </w:rPr>
        <w:t>组成的某化合物结构如图所示</w:t>
      </w:r>
      <w:r>
        <w:rPr>
          <w:rFonts w:hint="eastAsia" w:ascii="Times New Roman" w:hAnsi="Times New Roman" w:eastAsia="Times New Roman" w:cs="Times New Roman"/>
        </w:rPr>
        <w:t>，</w:t>
      </w:r>
      <w:r>
        <w:rPr>
          <w:rFonts w:hint="eastAsia" w:ascii="Times New Roman" w:hAnsi="Times New Roman" w:eastAsia="FangSong" w:cs="Times New Roman"/>
        </w:rPr>
        <w:t>分子中所有原子均达到</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；X、Y、Z、W</w:t>
      </w:r>
      <w:r>
        <w:rPr>
          <w:rFonts w:ascii="Times New Roman" w:hAnsi="Times New Roman" w:eastAsia="Times New Roman" w:cs="Times New Roman"/>
        </w:rPr>
        <w:t xml:space="preserve"> </w:t>
      </w:r>
      <w:r>
        <w:rPr>
          <w:rFonts w:hint="eastAsia" w:ascii="Times New Roman" w:hAnsi="Times New Roman" w:eastAsia="FangSong" w:cs="Times New Roman"/>
        </w:rPr>
        <w:t>是原子序数依次增大的短周期主族元素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元素至少能形成</w:t>
      </w:r>
      <w:r>
        <w:rPr>
          <w:rFonts w:ascii="Times New Roman" w:hAnsi="Times New Roman" w:eastAsia="Times New Roman" w:cs="Times New Roman"/>
        </w:rPr>
        <w:t xml:space="preserve"> 6 </w:t>
      </w:r>
      <w:r>
        <w:rPr>
          <w:rFonts w:hint="eastAsia" w:ascii="Times New Roman" w:hAnsi="Times New Roman" w:eastAsia="FangSong" w:cs="Times New Roman"/>
        </w:rPr>
        <w:t>种氧化物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的单质可用于自来水消毒</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化合物结构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0" name="Picture"/>
            <a:graphic>
              <a:graphicData uri="http://schemas.openxmlformats.org/drawingml/2006/picture">
                <pic:pic>
                  <pic:nvPicPr>
                    <pic:cNvPr descr="06-外部资料导入/真题/省预赛/images/2021-浙江预赛_p01.png" id="11" name="Picture"/>
                    <pic:cNvPicPr>
                      <a:picLocks noChangeArrowheads="1" noChangeAspect="1"/>
                    </pic:cNvPicPr>
                  </pic:nvPicPr>
                  <pic:blipFill>
                    <a:blip r:embed="rId9"/>
                    <a:stretch>
                      <a:fillRect/>
                    </a:stretch>
                  </pic:blipFill>
                  <pic:spPr bwMode="auto">
                    <a:xfrm>
                      <a:off x="0" y="0"/>
                      <a:ext cx="3240000" cy="45846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b/>
          <w:bCs/>
        </w:rPr>
        <w:t xml:space="preserve">2026-09-02 </w:t>
      </w:r>
      <w:r>
        <w:rPr>
          <w:rFonts w:hint="eastAsia" w:ascii="Times New Roman" w:hAnsi="Times New Roman" w:eastAsia="FangSong" w:cs="Times New Roman"/>
          <w:b/>
          <w:bCs/>
        </w:rPr>
        <w:t xml:space="preserve">图像裁决</w:t>
      </w:r>
      <w:r>
        <w:rPr>
          <w:rFonts w:hint="eastAsia" w:ascii="Times New Roman" w:hAnsi="Times New Roman" w:eastAsia="Times New Roman" w:cs="Times New Roman"/>
        </w:rPr>
        <w:t>：</w:t>
      </w:r>
      <w:r>
        <w:rPr>
          <w:rFonts w:hint="eastAsia" w:ascii="Times New Roman" w:hAnsi="Times New Roman" w:eastAsia="FangSong" w:cs="Times New Roman"/>
        </w:rPr>
        <w:t>结构确认为三氯异氰尿酸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（X=C、Y=N、Z=O、W=Cl，</w:t>
      </w:r>
      <w:r>
        <w:rPr>
          <w:rFonts w:hint="eastAsia" w:ascii="Times New Roman" w:hAnsi="Times New Roman" w:eastAsia="FangSong" w:cs="Times New Roman"/>
        </w:rPr>
        <w:t>六元环</w:t>
      </w:r>
      <w:r>
        <w:rPr>
          <w:rFonts w:ascii="Times New Roman" w:hAnsi="Times New Roman" w:eastAsia="Times New Roman" w:cs="Times New Roman"/>
        </w:rPr>
        <w:t xml:space="preserve"> C/N </w:t>
      </w:r>
      <w:r>
        <w:rPr>
          <w:rFonts w:hint="eastAsia" w:ascii="Times New Roman" w:hAnsi="Times New Roman" w:eastAsia="FangSong" w:cs="Times New Roman"/>
        </w:rPr>
        <w:t>交替</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Cl、C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=O）。A</w:t>
      </w:r>
      <w:r>
        <w:rPr>
          <w:rFonts w:ascii="Times New Roman" w:hAnsi="Times New Roman" w:eastAsia="Times New Roman" w:cs="Times New Roman"/>
        </w:rPr>
        <w:t xml:space="preserve"> </w:t>
      </w:r>
      <w:r>
        <w:rPr>
          <w:rFonts w:hint="eastAsia" w:ascii="Times New Roman" w:hAnsi="Times New Roman" w:eastAsia="FangSong" w:cs="Times New Roman"/>
        </w:rPr>
        <w:t>必然正确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在简单阴离子口径下亦成立</w:t>
      </w:r>
      <w:r>
        <w:rPr>
          <w:rFonts w:hint="eastAsia" w:ascii="Times New Roman" w:hAnsi="Times New Roman" w:eastAsia="Times New Roman" w:cs="Times New Roman"/>
        </w:rPr>
        <w:t>（r(Cl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181 pm &gt; r(N</w:t>
      </w:r>
      <w:r>
        <w:rPr>
          <w:rFonts w:ascii="Times New Roman" w:hAnsi="Times New Roman" w:eastAsia="Times New Roman" w:cs="Times New Roman"/>
          <w:vertAlign w:val="superscript"/>
        </w:rPr>
        <w:t>3-</w:t>
      </w:r>
      <w:r>
        <w:rPr>
          <w:rFonts w:ascii="Times New Roman" w:hAnsi="Times New Roman" w:eastAsia="Times New Roman" w:cs="Times New Roman"/>
        </w:rPr>
        <w:t>) 146 pm &gt; 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FangSong" w:cs="Times New Roman"/>
        </w:rPr>
        <w:t>与官方答案</w:t>
      </w:r>
      <w:r>
        <w:rPr>
          <w:rFonts w:ascii="Times New Roman" w:hAnsi="Times New Roman" w:eastAsia="Times New Roman" w:cs="Times New Roman"/>
        </w:rPr>
        <w:t xml:space="preserve"> AB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单选卷双解属原卷瑕疵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无含</w:t>
      </w:r>
      <w:r>
        <w:rPr>
          <w:rFonts w:ascii="Times New Roman" w:hAnsi="Times New Roman" w:eastAsia="Times New Roman" w:cs="Times New Roman"/>
        </w:rPr>
        <w:t xml:space="preserve"> Cl–Cl </w:t>
      </w:r>
      <w:r>
        <w:rPr>
          <w:rFonts w:hint="eastAsia" w:ascii="Times New Roman" w:hAnsi="Times New Roman" w:eastAsia="FangSong" w:cs="Times New Roman"/>
        </w:rPr>
        <w:t>键的二元氢化物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HCl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给定序不成立</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：X</w:t>
      </w:r>
      <w:r>
        <w:rPr>
          <w:rFonts w:ascii="Times New Roman" w:hAnsi="Times New Roman" w:eastAsia="Times New Roman" w:cs="Times New Roman"/>
        </w:rPr>
        <w:t xml:space="preserve"> &lt; Y &lt; W</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离子半径</w:t>
      </w:r>
      <w:r>
        <w:rPr>
          <w:rFonts w:hint="eastAsia" w:ascii="Times New Roman" w:hAnsi="Times New Roman" w:eastAsia="Times New Roman" w:cs="Times New Roman"/>
        </w:rPr>
        <w:t>：r(W)</w:t>
      </w:r>
      <w:r>
        <w:rPr>
          <w:rFonts w:ascii="Times New Roman" w:hAnsi="Times New Roman" w:eastAsia="Times New Roman" w:cs="Times New Roman"/>
        </w:rPr>
        <w:t xml:space="preserve"> &gt; r(Y) &gt; r(Z)</w:t>
      </w:r>
    </w:p>
    <w:p>
      <w:pPr>
        <w:pStyle w:val="Compact"/>
        <w:numPr>
          <w:ilvl w:val="0"/>
          <w:numId w:val="1001"/>
        </w:numPr>
      </w:pPr>
      <w:r>
        <w:rPr>
          <w:rFonts w:ascii="Times New Roman" w:hAnsi="Times New Roman" w:eastAsia="Times New Roman" w:cs="Times New Roman"/>
        </w:rPr>
        <w:t xml:space="preserve">C. X、Y、Z、W </w:t>
      </w:r>
      <w:r>
        <w:rPr>
          <w:rFonts w:hint="eastAsia" w:ascii="Times New Roman" w:hAnsi="Times New Roman" w:eastAsia="FangSong" w:cs="Times New Roman"/>
        </w:rPr>
        <w:t xml:space="preserve">四种元素均能与氢元素形成含非极性键的二元化合物</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简单氢化物的还原性</w:t>
      </w:r>
      <w:r>
        <w:rPr>
          <w:rFonts w:hint="eastAsia" w:ascii="Times New Roman" w:hAnsi="Times New Roman" w:eastAsia="Times New Roman" w:cs="Times New Roman"/>
        </w:rPr>
        <w:t>：W</w:t>
      </w:r>
      <w:r>
        <w:rPr>
          <w:rFonts w:ascii="Times New Roman" w:hAnsi="Times New Roman" w:eastAsia="Times New Roman" w:cs="Times New Roman"/>
        </w:rPr>
        <w:t xml:space="preserve"> &lt; X &lt; Y</w:t>
      </w: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在元素周期表中所处位置可以说明其性质有很多相似之处</w:t>
      </w:r>
      <w:r>
        <w:rPr>
          <w:rFonts w:hint="eastAsia" w:ascii="Times New Roman" w:hAnsi="Times New Roman" w:eastAsia="Times New Roman" w:cs="Times New Roman"/>
        </w:rPr>
        <w:t>。</w:t>
      </w:r>
      <w:r>
        <w:rPr>
          <w:rFonts w:hint="eastAsia" w:ascii="Times New Roman" w:hAnsi="Times New Roman" w:eastAsia="FangSong" w:cs="Times New Roman"/>
        </w:rPr>
        <w:t>以下推断正确的是</w:t>
      </w:r>
    </w:p>
    <w:p>
      <w:pPr>
        <w:pStyle w:val="Compact"/>
        <w:numPr>
          <w:ilvl w:val="0"/>
          <w:numId w:val="1002"/>
        </w:numPr>
      </w:pPr>
      <w:r>
        <w:rPr>
          <w:rFonts w:ascii="Times New Roman" w:hAnsi="Times New Roman" w:eastAsia="Times New Roman" w:cs="Times New Roman"/>
        </w:rPr>
        <w:t>A.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hint="eastAsia" w:ascii="Times New Roman" w:hAnsi="Times New Roman" w:eastAsia="FangSong" w:cs="Times New Roman"/>
        </w:rPr>
        <w:t>如将其蒸干</w:t>
      </w:r>
      <w:r>
        <w:rPr>
          <w:rFonts w:hint="eastAsia" w:ascii="Times New Roman" w:hAnsi="Times New Roman" w:eastAsia="Times New Roman" w:cs="Times New Roman"/>
        </w:rPr>
        <w:t>，</w:t>
      </w:r>
      <w:r>
        <w:rPr>
          <w:rFonts w:hint="eastAsia" w:ascii="Times New Roman" w:hAnsi="Times New Roman" w:eastAsia="FangSong" w:cs="Times New Roman"/>
        </w:rPr>
        <w:t>灼烧后可能残留固体</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p>
    <w:p>
      <w:pPr>
        <w:pStyle w:val="Compact"/>
        <w:numPr>
          <w:ilvl w:val="0"/>
          <w:numId w:val="1002"/>
        </w:numPr>
      </w:pPr>
      <w:r>
        <w:rPr>
          <w:rFonts w:ascii="Times New Roman" w:hAnsi="Times New Roman" w:eastAsia="Times New Roman" w:cs="Times New Roman"/>
        </w:rPr>
        <w:t>B.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固体是分子晶体</w:t>
      </w:r>
      <w:r>
        <w:rPr>
          <w:rFonts w:hint="eastAsia" w:ascii="Times New Roman" w:hAnsi="Times New Roman" w:eastAsia="Times New Roman" w:cs="Times New Roman"/>
        </w:rPr>
        <w:t>，</w:t>
      </w:r>
      <w:r>
        <w:rPr>
          <w:rFonts w:hint="eastAsia" w:ascii="Times New Roman" w:hAnsi="Times New Roman" w:eastAsia="FangSong" w:cs="Times New Roman"/>
        </w:rPr>
        <w:t>属于非电解质</w:t>
      </w:r>
    </w:p>
    <w:p>
      <w:pPr>
        <w:pStyle w:val="Compact"/>
        <w:numPr>
          <w:ilvl w:val="0"/>
          <w:numId w:val="1002"/>
        </w:numPr>
      </w:pPr>
      <w:r>
        <w:rPr>
          <w:rFonts w:ascii="Times New Roman" w:hAnsi="Times New Roman" w:eastAsia="Times New Roman" w:cs="Times New Roman"/>
        </w:rPr>
        <w:t>C.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有两性且碱性比</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酸性比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等量的</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与酸反应产生的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一样多</w:t>
      </w: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同族元素</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均为非放射性副族元素</w:t>
      </w:r>
      <w:r>
        <w:rPr>
          <w:rFonts w:hint="eastAsia" w:ascii="Times New Roman" w:hAnsi="Times New Roman" w:eastAsia="Times New Roman" w:cs="Times New Roman"/>
        </w:rPr>
        <w:t>）</w:t>
      </w:r>
      <w:r>
        <w:rPr>
          <w:rFonts w:hint="eastAsia" w:ascii="Times New Roman" w:hAnsi="Times New Roman" w:eastAsia="FangSong" w:cs="Times New Roman"/>
        </w:rPr>
        <w:t>基态原子的价层电子组态符合同一个通式</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A、B、C </w:t>
      </w:r>
      <w:r>
        <w:rPr>
          <w:rFonts w:hint="eastAsia" w:ascii="Times New Roman" w:hAnsi="Times New Roman" w:eastAsia="FangSong" w:cs="Times New Roman"/>
        </w:rPr>
        <w:t>所在族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D、E、F </w:t>
      </w:r>
      <w:r>
        <w:rPr>
          <w:rFonts w:hint="eastAsia" w:ascii="Times New Roman" w:hAnsi="Times New Roman" w:eastAsia="FangSong" w:cs="Times New Roman"/>
        </w:rPr>
        <w:t>的元素符号及价层电子组态的通式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 </m:t>
          </m:r>
          <m:sSubSup>
            <m:e>
              <m:r>
                <m:t>​</m:t>
              </m:r>
            </m:e>
            <m:sub>
              <m:r>
                <m:t>1</m:t>
              </m:r>
            </m:sub>
            <m:sup>
              <m:r>
                <m:t>1</m:t>
              </m:r>
            </m:sup>
          </m:sSubSup>
          <m:r>
            <m:rPr>
              <m:sty m:val="p"/>
            </m:rPr>
            <m:t>H</m:t>
          </m:r>
          <m:r>
            <m:rPr>
              <m:sty m:val="p"/>
            </m:rPr>
            <m:t>+</m:t>
          </m:r>
          <m:sSubSup>
            <m:e>
              <m:r>
                <m:t>​</m:t>
              </m:r>
            </m:e>
            <m:sub>
              <m:r>
                <m:t>6</m:t>
              </m:r>
            </m:sub>
            <m:sup>
              <m:r>
                <m:t>12</m:t>
              </m:r>
            </m:sup>
          </m:sSubSup>
          <m:r>
            <m:rPr>
              <m:sty m:val="p"/>
            </m:rPr>
            <m:t>C</m:t>
          </m:r>
          <m:r>
            <m:rPr>
              <m:sty m:val="p"/>
            </m:rPr>
            <m:t>→</m:t>
          </m:r>
          <m:sSubSup>
            <m:e>
              <m:r>
                <m:t>​</m:t>
              </m:r>
            </m:e>
            <m:sub>
              <m:r>
                <m:t>7</m:t>
              </m:r>
            </m:sub>
            <m:sup>
              <m:r>
                <m:t>13</m:t>
              </m:r>
            </m:sup>
          </m:sSubSup>
          <m:r>
            <m:rPr>
              <m:sty m:val="p"/>
            </m:rPr>
            <m:t>N</m:t>
          </m:r>
          <m:r>
            <m:t>  </m:t>
          </m:r>
          <m:r>
            <m:rPr>
              <m:sty m:val="p"/>
            </m:rPr>
            <m:t>②</m:t>
          </m:r>
          <m:r>
            <m:t> </m:t>
          </m:r>
          <m:sSubSup>
            <m:e>
              <m:r>
                <m:t>​</m:t>
              </m:r>
            </m:e>
            <m:sub>
              <m:r>
                <m:t>7</m:t>
              </m:r>
            </m:sub>
            <m:sup>
              <m:r>
                <m:t>13</m:t>
              </m:r>
            </m:sup>
          </m:sSubSup>
          <m:r>
            <m:rPr>
              <m:sty m:val="p"/>
            </m:rPr>
            <m:t>N</m:t>
          </m:r>
          <m:r>
            <m:rPr>
              <m:sty m:val="p"/>
            </m:rPr>
            <m:t>→</m:t>
          </m:r>
          <m:sSubSup>
            <m:e>
              <m:r>
                <m:t>​</m:t>
              </m:r>
            </m:e>
            <m:sub>
              <m:r>
                <m:t>y</m:t>
              </m:r>
            </m:sub>
            <m:sup>
              <m:r>
                <m:t>x</m:t>
              </m:r>
            </m:sup>
          </m:sSubSup>
          <m:r>
            <m:rPr>
              <m:sty m:val="p"/>
            </m:rPr>
            <m:t>C</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③</m:t>
          </m:r>
          <m:r>
            <m:t> </m:t>
          </m:r>
          <m:sSubSup>
            <m:e>
              <m:r>
                <m:t>​</m:t>
              </m:r>
            </m:e>
            <m:sub>
              <m:r>
                <m:t>1</m:t>
              </m:r>
            </m:sub>
            <m:sup>
              <m:r>
                <m:t>1</m:t>
              </m:r>
            </m:sup>
          </m:sSubSup>
          <m:r>
            <m:rPr>
              <m:sty m:val="p"/>
            </m:rPr>
            <m:t>H</m:t>
          </m:r>
          <m:r>
            <m:rPr>
              <m:sty m:val="p"/>
            </m:rPr>
            <m:t>+</m:t>
          </m:r>
          <m:sSubSup>
            <m:e>
              <m:r>
                <m:t>​</m:t>
              </m:r>
            </m:e>
            <m:sub>
              <m:r>
                <m:t>y</m:t>
              </m:r>
            </m:sub>
            <m:sup>
              <m:r>
                <m:t>x</m:t>
              </m:r>
            </m:sup>
          </m:sSubSup>
          <m:r>
            <m:rPr>
              <m:sty m:val="p"/>
            </m:rPr>
            <m:t>C</m:t>
          </m:r>
          <m:r>
            <m:rPr>
              <m:sty m:val="p"/>
            </m:rPr>
            <m:t>→</m:t>
          </m:r>
          <m:sSubSup>
            <m:e>
              <m:r>
                <m:t>​</m:t>
              </m:r>
            </m:e>
            <m:sub>
              <m:sSup>
                <m:e>
                  <m:r>
                    <m:t>y</m:t>
                  </m:r>
                </m:e>
                <m:sup>
                  <m:r>
                    <m:rPr>
                      <m:sty m:val="p"/>
                    </m:rPr>
                    <m:t>′</m:t>
                  </m:r>
                </m:sup>
              </m:sSup>
            </m:sub>
            <m:sup>
              <m:sSup>
                <m:e>
                  <m:r>
                    <m:t>x</m:t>
                  </m:r>
                </m:e>
                <m:sup>
                  <m:r>
                    <m:rPr>
                      <m:sty m:val="p"/>
                    </m:rPr>
                    <m:t>′</m:t>
                  </m:r>
                </m:sup>
              </m:sSup>
            </m:sup>
          </m:sSubSup>
          <m:r>
            <m:rPr>
              <m:sty m:val="p"/>
            </m:rPr>
            <m:t>N</m:t>
          </m:r>
        </m:oMath>
      </m:oMathPara>
    </w:p>
    <w:p>
      <w:pPr>
        <w:pStyle w:val="FirstParagraph"/>
      </w:pPr>
      <m:oMathPara>
        <m:oMathParaPr>
          <m:jc m:val="center"/>
          <m:ctrlPr>
            <w:rPr>
              <w:sz w:val="28"/>
              <w:szCs w:val="28"/>
            </w:rPr>
          </m:ctrlPr>
        </m:oMathParaPr>
        <m:oMath>
          <m:r>
            <m:rPr>
              <m:sty m:val="p"/>
            </m:rPr>
            <m:t>④</m:t>
          </m:r>
          <m:r>
            <m:t> </m:t>
          </m:r>
          <m:sSubSup>
            <m:e>
              <m:r>
                <m:t>​</m:t>
              </m:r>
            </m:e>
            <m:sub>
              <m:r>
                <m:t>1</m:t>
              </m:r>
            </m:sub>
            <m:sup>
              <m:r>
                <m:t>1</m:t>
              </m:r>
            </m:sup>
          </m:sSubSup>
          <m:r>
            <m:rPr>
              <m:sty m:val="p"/>
            </m:rPr>
            <m:t>H</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bSup>
            <m:e>
              <m:r>
                <m:t>​</m:t>
              </m:r>
            </m:e>
            <m:sub>
              <m:sSup>
                <m:e>
                  <m:r>
                    <m:t>y</m:t>
                  </m:r>
                </m:e>
                <m:sup>
                  <m:r>
                    <m:rPr>
                      <m:sty m:val="p"/>
                    </m:rPr>
                    <m:t>″</m:t>
                  </m:r>
                </m:sup>
              </m:sSup>
            </m:sub>
            <m:sup>
              <m:sSup>
                <m:e>
                  <m:r>
                    <m:t>x</m:t>
                  </m:r>
                </m:e>
                <m:sup>
                  <m:r>
                    <m:rPr>
                      <m:sty m:val="p"/>
                    </m:rPr>
                    <m:t>″</m:t>
                  </m:r>
                </m:sup>
              </m:sSup>
            </m:sup>
          </m:sSubSup>
          <m:r>
            <m:rPr>
              <m:sty m:val="p"/>
            </m:rPr>
            <m:t>O</m:t>
          </m:r>
          <m:r>
            <m:t>  </m:t>
          </m:r>
          <m:r>
            <m:rPr>
              <m:sty m:val="p"/>
            </m:rPr>
            <m:t>⑤</m:t>
          </m:r>
          <m:r>
            <m:t> </m:t>
          </m:r>
          <m:sSubSup>
            <m:e>
              <m:r>
                <m:t>​</m:t>
              </m:r>
            </m:e>
            <m:sub>
              <m:sSup>
                <m:e>
                  <m:r>
                    <m:t>y</m:t>
                  </m:r>
                </m:e>
                <m:sup>
                  <m:r>
                    <m:rPr>
                      <m:sty m:val="p"/>
                    </m:rPr>
                    <m:t>″</m:t>
                  </m:r>
                </m:sup>
              </m:sSup>
            </m:sub>
            <m:sup>
              <m:sSup>
                <m:e>
                  <m:r>
                    <m:t>x</m:t>
                  </m:r>
                </m:e>
                <m:sup>
                  <m:r>
                    <m:rPr>
                      <m:sty m:val="p"/>
                    </m:rPr>
                    <m:t>″</m:t>
                  </m:r>
                </m:sup>
              </m:sSup>
            </m:sup>
          </m:sSubSup>
          <m:r>
            <m:rPr>
              <m:sty m:val="p"/>
            </m:rPr>
            <m:t>O</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⑥</m:t>
          </m:r>
          <m:r>
            <m:t> </m:t>
          </m:r>
          <m:sSubSup>
            <m:e>
              <m:r>
                <m:t>​</m:t>
              </m:r>
            </m:e>
            <m:sub>
              <m:r>
                <m:t>1</m:t>
              </m:r>
            </m:sub>
            <m:sup>
              <m:r>
                <m:t>1</m:t>
              </m:r>
            </m:sup>
          </m:sSubSup>
          <m:r>
            <m:rPr>
              <m:sty m:val="p"/>
            </m:rPr>
            <m:t>H</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bSup>
            <m:e>
              <m:r>
                <m:t>​</m:t>
              </m:r>
            </m:e>
            <m:sub>
              <m:r>
                <m:t>6</m:t>
              </m:r>
            </m:sub>
            <m:sup>
              <m:r>
                <m:t>12</m:t>
              </m:r>
            </m:sup>
          </m:sSubSup>
          <m:r>
            <m:rPr>
              <m:sty m:val="p"/>
            </m:rPr>
            <m:t>C</m:t>
          </m:r>
          <m:r>
            <m:rPr>
              <m:sty m:val="p"/>
            </m:rPr>
            <m:t>+</m:t>
          </m:r>
          <m:sSubSup>
            <m:e>
              <m:r>
                <m:t>​</m:t>
              </m:r>
            </m:e>
            <m:sub>
              <m:r>
                <m:t>2</m:t>
              </m:r>
            </m:sub>
            <m:sup>
              <m:r>
                <m:t>4</m:t>
              </m:r>
            </m:sup>
          </m:sSubSup>
          <m:r>
            <m:rPr>
              <m:sty m:val="p"/>
            </m:rPr>
            <m:t>H</m:t>
          </m:r>
          <m:r>
            <m:rPr>
              <m:sty m:val="p"/>
            </m:rPr>
            <m:t>e</m:t>
          </m:r>
        </m:oMath>
      </m:oMathPara>
    </w:p>
    <w:p>
      <w:pPr>
        <w:pStyle w:val="FirstParagraph"/>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8"/>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20" name="Picture"/>
            <a:graphic>
              <a:graphicData uri="http://schemas.openxmlformats.org/drawingml/2006/picture">
                <pic:pic>
                  <pic:nvPicPr>
                    <pic:cNvPr descr="ce58df344ca80f46f4f204b677ad25484fc0297ed7e49ff66ee18a627523075b.jpg" id="21" name="Picture"/>
                    <pic:cNvPicPr>
                      <a:picLocks noChangeArrowheads="1" noChangeAspect="1"/>
                    </pic:cNvPicPr>
                  </pic:nvPicPr>
                  <pic:blipFill>
                    <a:blip r:embed="rId19"/>
                    <a:stretch>
                      <a:fillRect/>
                    </a:stretch>
                  </pic:blipFill>
                  <pic:spPr bwMode="auto">
                    <a:xfrm>
                      <a:off x="0" y="0"/>
                      <a:ext cx="3240000" cy="27422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25" name="Picture"/>
            <a:graphic>
              <a:graphicData uri="http://schemas.openxmlformats.org/drawingml/2006/picture">
                <pic:pic>
                  <pic:nvPicPr>
                    <pic:cNvPr descr="66ba23e49bbdf9acea516b5b61abb549e732de83c61f25b79bc1ee63f04f2a08.jpg" id="26" name="Picture"/>
                    <pic:cNvPicPr>
                      <a:picLocks noChangeArrowheads="1" noChangeAspect="1"/>
                    </pic:cNvPicPr>
                  </pic:nvPicPr>
                  <pic:blipFill>
                    <a:blip r:embed="rId24"/>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04"/>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06"/>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
    <w:bookmarkStart w:id="31"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1917"/>
            <wp:effectExtent b="0" l="0" r="0" t="0"/>
            <wp:docPr descr="" title="" id="29" name="Picture"/>
            <a:graphic>
              <a:graphicData uri="http://schemas.openxmlformats.org/drawingml/2006/picture">
                <pic:pic>
                  <pic:nvPicPr>
                    <pic:cNvPr descr="e1cf1cb20b4c93ea2fd1508ceeafda3cfe2f91d490b293c655a9a4fe8d1a33c5.jpg" id="30" name="Picture"/>
                    <pic:cNvPicPr>
                      <a:picLocks noChangeArrowheads="1" noChangeAspect="1"/>
                    </pic:cNvPicPr>
                  </pic:nvPicPr>
                  <pic:blipFill>
                    <a:blip r:embed="rId28"/>
                    <a:stretch>
                      <a:fillRect/>
                    </a:stretch>
                  </pic:blipFill>
                  <pic:spPr bwMode="auto">
                    <a:xfrm>
                      <a:off x="0" y="0"/>
                      <a:ext cx="3600000" cy="2741917"/>
                    </a:xfrm>
                    <a:prstGeom prst="rect">
                      <a:avLst/>
                    </a:prstGeom>
                    <a:noFill/>
                    <a:ln w="9525">
                      <a:noFill/>
                      <a:headEnd/>
                      <a:tailEnd/>
                    </a:ln>
                  </pic:spPr>
                </pic:pic>
              </a:graphicData>
            </a:graphic>
          </wp:inline>
        </w:drawing>
      </w:r>
    </w:p>
    <w:p>
      <w:pPr>
        <w:numPr>
          <w:ilvl w:val="0"/>
          <w:numId w:val="1007"/>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
    <w:bookmarkStart w:id="3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spacing w:before="160" w:after="80"/>
      </w:pPr>
      <w:r>
        <w:pict>
          <v:rect style="width:0;height:1.5pt" o:hralign="center" o:hrstd="t" o:hr="t"/>
        </w:pict>
      </w:r>
    </w:p>
    <w:bookmarkEnd w:id="32"/>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下表是部分短周期元素的原子半径及主要化合价</w:t>
      </w:r>
      <w:r>
        <w:rPr>
          <w:rFonts w:hint="eastAsia" w:ascii="Times New Roman" w:hAnsi="Times New Roman" w:eastAsia="Times New Roman" w:cs="Times New Roman"/>
        </w:rPr>
        <w:t>。</w:t>
      </w:r>
      <w:r>
        <w:rPr>
          <w:rFonts w:hint="eastAsia" w:ascii="Times New Roman" w:hAnsi="Times New Roman" w:eastAsia="FangSong" w:cs="Times New Roman"/>
        </w:rPr>
        <w:t>试根据下表信息</w:t>
      </w:r>
      <w:r>
        <w:rPr>
          <w:rFonts w:hint="eastAsia" w:ascii="Times New Roman" w:hAnsi="Times New Roman" w:eastAsia="Times New Roman" w:cs="Times New Roman"/>
        </w:rPr>
        <w:t>，</w:t>
      </w:r>
      <w:r>
        <w:rPr>
          <w:rFonts w:hint="eastAsia" w:ascii="Times New Roman" w:hAnsi="Times New Roman" w:eastAsia="FangSong" w:cs="Times New Roman"/>
        </w:rPr>
        <w:t>判断以下叙述正确的是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M</w:t>
            </w:r>
          </w:p>
        </w:tc>
        <w:tc>
          <w:tcPr/>
          <w:p>
            <w:pPr>
              <w:pStyle w:val="Compact"/>
              <w:jc w:val="center"/>
            </w:pPr>
            <w:r>
              <w:rPr>
                <w:rFonts w:ascii="Times New Roman" w:hAnsi="Times New Roman" w:eastAsia="Times New Roman" w:cs="Times New Roman"/>
                <w:b/>
              </w:rPr>
              <w:t xml:space="preserve">Q</w:t>
            </w:r>
          </w:p>
        </w:tc>
        <w:tc>
          <w:tcPr/>
          <w:p>
            <w:pPr>
              <w:pStyle w:val="Compact"/>
              <w:jc w:val="center"/>
            </w:pPr>
            <w:r>
              <w:rPr>
                <w:rFonts w:ascii="Times New Roman" w:hAnsi="Times New Roman" w:eastAsia="Times New Roman" w:cs="Times New Roman"/>
                <w:b/>
              </w:rPr>
              <w:t xml:space="preserve">R</w:t>
            </w:r>
          </w:p>
        </w:tc>
        <w:tc>
          <w:tcPr/>
          <w:p>
            <w:pPr>
              <w:pStyle w:val="Compact"/>
              <w:jc w:val="center"/>
            </w:pPr>
            <w:r>
              <w:rPr>
                <w:rFonts w:ascii="Times New Roman" w:hAnsi="Times New Roman" w:eastAsia="Times New Roman" w:cs="Times New Roman"/>
                <w:b/>
              </w:rPr>
              <w:t xml:space="preserve">T</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0.160</w:t>
            </w:r>
          </w:p>
        </w:tc>
        <w:tc>
          <w:tcPr/>
          <w:p>
            <w:pPr>
              <w:pStyle w:val="Compact"/>
              <w:jc w:val="center"/>
            </w:pPr>
            <w:r>
              <w:rPr>
                <w:rFonts w:ascii="Times New Roman" w:hAnsi="Times New Roman" w:eastAsia="Times New Roman" w:cs="Times New Roman"/>
              </w:rPr>
              <w:t xml:space="preserve">0.143</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0.104</w:t>
            </w:r>
          </w:p>
        </w:tc>
        <w:tc>
          <w:tcPr/>
          <w:p>
            <w:pPr>
              <w:pStyle w:val="Compact"/>
              <w:jc w:val="center"/>
            </w:pPr>
            <w:r>
              <w:rPr>
                <w:rFonts w:ascii="Times New Roman" w:hAnsi="Times New Roman" w:eastAsia="Times New Roman" w:cs="Times New Roman"/>
              </w:rPr>
              <w:t xml:space="preserve">0.066</w:t>
            </w:r>
          </w:p>
        </w:tc>
      </w:tr>
      <w:tr>
        <w:tc>
          <w:tcPr/>
          <w:p>
            <w:pPr>
              <w:pStyle w:val="Compact"/>
              <w:jc w:val="center"/>
            </w:pPr>
            <w:r>
              <w:rPr>
                <w:rFonts w:hint="eastAsia" w:ascii="Times New Roman" w:hAnsi="Times New Roman" w:eastAsia="FangSong" w:cs="Times New Roman"/>
              </w:rPr>
              <w:t xml:space="preserve">主要化合价</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+6、-2</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氢化物的沸点为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T</m:t>
        </m:r>
        <m:r>
          <m:rPr>
            <m:sty m:val="p"/>
          </m:rPr>
          <m:t>&lt;</m:t>
        </m:r>
        <m:sSub>
          <m:e>
            <m:r>
              <m:rPr>
                <m:sty m:val="p"/>
              </m:rPr>
              <m:t>H</m:t>
            </m:r>
          </m:e>
          <m:sub>
            <m:r>
              <m:t>2</m:t>
            </m:r>
          </m:sub>
        </m:sSub>
        <m:r>
          <m:rPr>
            <m:sty m:val="p"/>
          </m:rPr>
          <m:t>R</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单质与稀盐酸反应的速率为</w:t>
      </w:r>
      <w:r>
        <w:rPr>
          <w:rFonts w:ascii="Times New Roman" w:hAnsi="Times New Roman" w:eastAsia="Times New Roman" w:cs="Times New Roman"/>
        </w:rPr>
        <w:t xml:space="preserve"> </w:t>
      </w:r>
      <m:oMath>
        <m:r>
          <m:rPr>
            <m:sty m:val="p"/>
          </m:rPr>
          <m:t>L</m:t>
        </m:r>
        <m:r>
          <m:rPr>
            <m:sty m:val="p"/>
          </m:rPr>
          <m:t>&lt;</m:t>
        </m:r>
        <m:r>
          <m:rPr>
            <m:sty m:val="p"/>
          </m:rPr>
          <m:t>Q</m:t>
        </m:r>
      </m:oMath>
      <w:r>
        <w:rPr>
          <w:rFonts w:ascii="Times New Roman" w:hAnsi="Times New Roman" w:eastAsia="Times New Roman" w:cs="Times New Roman"/>
        </w:rPr>
        <w:t xml:space="preserve">　　C.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形成的化合物具有两性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p>
          <m:e>
            <m:r>
              <m:rPr>
                <m:sty m:val="p"/>
              </m:rPr>
              <m:t>L</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的核外电子数相等</w:t>
      </w:r>
    </w:p>
    <w:p>
      <w:pPr>
        <w:spacing w:before="160" w:after="80"/>
      </w:pPr>
      <w:r>
        <w:pict>
          <v:rect style="width:0;height:1.5pt" o:hralign="center" o:hrstd="t" o:hr="t"/>
        </w:pict>
      </w:r>
    </w:p>
    <w:bookmarkEnd w:id="33"/>
    <w:bookmarkStart w:id="3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spacing w:before="160" w:after="80"/>
      </w:pPr>
      <w:r>
        <w:pict>
          <v:rect style="width:0;height:1.5pt" o:hralign="center" o:hrstd="t" o:hr="t"/>
        </w:pict>
      </w:r>
    </w:p>
    <w:bookmarkEnd w:id="34"/>
    <w:bookmarkStart w:id="3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
    <w:bookmarkStart w:id="3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
    <w:bookmarkStart w:id="3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009"/>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42" name="Picture"/>
            <a:graphic>
              <a:graphicData uri="http://schemas.openxmlformats.org/drawingml/2006/picture">
                <pic:pic>
                  <pic:nvPicPr>
                    <pic:cNvPr descr="f50bd8c06342e62ea056d9ab6ebc08b4d9a4e9a872d0799323646d8b72017afe.jpg" id="43" name="Picture"/>
                    <pic:cNvPicPr>
                      <a:picLocks noChangeArrowheads="1" noChangeAspect="1"/>
                    </pic:cNvPicPr>
                  </pic:nvPicPr>
                  <pic:blipFill>
                    <a:blip r:embed="rId41"/>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4"/>
    <w:bookmarkStart w:id="4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5-1 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spacing w:before="160" w:after="80"/>
      </w:pPr>
      <w:r>
        <w:pict>
          <v:rect style="width:0;height:1.5pt" o:hralign="center" o:hrstd="t" o:hr="t"/>
        </w:pict>
      </w:r>
    </w:p>
    <w:bookmarkEnd w:id="48"/>
    <w:bookmarkStart w:id="4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3"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79600"/>
            <wp:effectExtent b="0" l="0" r="0" t="0"/>
            <wp:docPr descr="" title="" id="51" name="Picture"/>
            <a:graphic>
              <a:graphicData uri="http://schemas.openxmlformats.org/drawingml/2006/picture">
                <pic:pic>
                  <pic:nvPicPr>
                    <pic:cNvPr descr="812be55bf1d6a4cd44b92ff2cc1f62253f18ae74c696f0f7acdf223fb86a6907.jpg" id="52" name="Picture"/>
                    <pic:cNvPicPr>
                      <a:picLocks noChangeArrowheads="1" noChangeAspect="1"/>
                    </pic:cNvPicPr>
                  </pic:nvPicPr>
                  <pic:blipFill>
                    <a:blip r:embed="rId50"/>
                    <a:stretch>
                      <a:fillRect/>
                    </a:stretch>
                  </pic:blipFill>
                  <pic:spPr bwMode="auto">
                    <a:xfrm>
                      <a:off x="0" y="0"/>
                      <a:ext cx="24765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6"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64" name="Picture"/>
            <a:graphic>
              <a:graphicData uri="http://schemas.openxmlformats.org/drawingml/2006/picture">
                <pic:pic>
                  <pic:nvPicPr>
                    <pic:cNvPr descr="5cddc5738b80543d1aea1e75739eac9d7f954364a97f681cfc2f49d27ef06ec8.jpg" id="65" name="Picture"/>
                    <pic:cNvPicPr>
                      <a:picLocks noChangeArrowheads="1" noChangeAspect="1"/>
                    </pic:cNvPicPr>
                  </pic:nvPicPr>
                  <pic:blipFill>
                    <a:blip r:embed="rId63"/>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3"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68" name="Picture"/>
            <a:graphic>
              <a:graphicData uri="http://schemas.openxmlformats.org/drawingml/2006/picture">
                <pic:pic>
                  <pic:nvPicPr>
                    <pic:cNvPr descr="c8767bf33ff5ad4f4509cbd42c6679450df22648ce99e2f1f7e4f33f74553dc9.jpg" id="69" name="Picture"/>
                    <pic:cNvPicPr>
                      <a:picLocks noChangeArrowheads="1" noChangeAspect="1"/>
                    </pic:cNvPicPr>
                  </pic:nvPicPr>
                  <pic:blipFill>
                    <a:blip r:embed="rId67"/>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71" name="Picture"/>
            <a:graphic>
              <a:graphicData uri="http://schemas.openxmlformats.org/drawingml/2006/picture">
                <pic:pic>
                  <pic:nvPicPr>
                    <pic:cNvPr descr="34373af9b6973fd52431a95ef66159a5e89329071ccf346362e4a8338a3c3a4b.jpg" id="72" name="Picture"/>
                    <pic:cNvPicPr>
                      <a:picLocks noChangeArrowheads="1" noChangeAspect="1"/>
                    </pic:cNvPicPr>
                  </pic:nvPicPr>
                  <pic:blipFill>
                    <a:blip r:embed="rId70"/>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spacing w:before="160" w:after="80"/>
      </w:pPr>
      <w:r>
        <w:pict>
          <v:rect style="width:0;height:1.5pt" o:hralign="center" o:hrstd="t" o:hr="t"/>
        </w:pict>
      </w:r>
    </w:p>
    <w:bookmarkEnd w:id="74"/>
    <w:bookmarkStart w:id="78"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76" name="Picture"/>
            <a:graphic>
              <a:graphicData uri="http://schemas.openxmlformats.org/drawingml/2006/picture">
                <pic:pic>
                  <pic:nvPicPr>
                    <pic:cNvPr descr="37d633c831e4bffa02931728cb627ad409987ea7bd23006cdab18d43d7ce970c.jpg" id="77" name="Picture"/>
                    <pic:cNvPicPr>
                      <a:picLocks noChangeArrowheads="1" noChangeAspect="1"/>
                    </pic:cNvPicPr>
                  </pic:nvPicPr>
                  <pic:blipFill>
                    <a:blip r:embed="rId75"/>
                    <a:stretch>
                      <a:fillRect/>
                    </a:stretch>
                  </pic:blipFill>
                  <pic:spPr bwMode="auto">
                    <a:xfrm>
                      <a:off x="0" y="0"/>
                      <a:ext cx="3600000" cy="22473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8"/>
    <w:bookmarkEnd w:id="79"/>
    <w:bookmarkEnd w:id="80"/>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70" Type="http://schemas.openxmlformats.org/officeDocument/2006/relationships/image" Target="media/rId70.jpg"/><Relationship Id="rId75" Type="http://schemas.openxmlformats.org/officeDocument/2006/relationships/image" Target="media/rId75.jpg"/><Relationship Id="rId63" Type="http://schemas.openxmlformats.org/officeDocument/2006/relationships/image" Target="media/rId63.jpg"/><Relationship Id="rId24" Type="http://schemas.openxmlformats.org/officeDocument/2006/relationships/image" Target="media/rId24.jpg"/><Relationship Id="rId50" Type="http://schemas.openxmlformats.org/officeDocument/2006/relationships/image" Target="media/rId50.jpg"/><Relationship Id="rId67" Type="http://schemas.openxmlformats.org/officeDocument/2006/relationships/image" Target="media/rId67.jpg"/><Relationship Id="rId19" Type="http://schemas.openxmlformats.org/officeDocument/2006/relationships/image" Target="media/rId19.jpg"/><Relationship Id="rId28" Type="http://schemas.openxmlformats.org/officeDocument/2006/relationships/image" Target="media/rId28.jpg"/><Relationship Id="rId41" Type="http://schemas.openxmlformats.org/officeDocument/2006/relationships/image" Target="media/rId41.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2026-09-18T10:51:45Z</dcterms:created>
  <dcterms:modified xsi:type="dcterms:W3CDTF">2026-09-18T10:51:45Z</dcterms:modified>
</cp:coreProperties>
</file>

<file path=docProps/custom.xml><?xml version="1.0" encoding="utf-8"?>
<Properties xmlns="http://schemas.openxmlformats.org/officeDocument/2006/custom-properties" xmlns:vt="http://schemas.openxmlformats.org/officeDocument/2006/docPropsVTypes"/>
</file>