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21973435"/>
        <w:docPartObj>
          <w:docPartGallery w:val="Cover Pages"/>
          <w:docPartUnique/>
        </w:docPartObj>
      </w:sdtPr>
      <w:sdtContent>
        <w:p w14:paraId="657F5D02" w14:textId="792CF48C" w:rsidR="00CF67B3" w:rsidRPr="001E4469" w:rsidRDefault="00CF67B3"/>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CF67B3" w:rsidRPr="001E4469" w14:paraId="7EA67A4D" w14:textId="77777777" w:rsidTr="469317DE">
            <w:sdt>
              <w:sdtPr>
                <w:rPr>
                  <w:color w:val="0F4761" w:themeColor="accent1" w:themeShade="BF"/>
                  <w:sz w:val="24"/>
                  <w:szCs w:val="24"/>
                  <w:lang w:val="en-GB"/>
                </w:rPr>
                <w:alias w:val="Company"/>
                <w:id w:val="13406915"/>
                <w:placeholder>
                  <w:docPart w:val="9A277A6E64424371A95630DF0D476C39"/>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21FF27C" w14:textId="26343BAF" w:rsidR="00CF67B3" w:rsidRPr="001E4469" w:rsidRDefault="00355C31">
                    <w:pPr>
                      <w:pStyle w:val="NoSpacing"/>
                      <w:rPr>
                        <w:color w:val="0F4761" w:themeColor="accent1" w:themeShade="BF"/>
                        <w:sz w:val="24"/>
                        <w:lang w:val="en-GB"/>
                      </w:rPr>
                    </w:pPr>
                    <w:r w:rsidRPr="001E4469">
                      <w:rPr>
                        <w:color w:val="0F4761" w:themeColor="accent1" w:themeShade="BF"/>
                        <w:sz w:val="24"/>
                        <w:szCs w:val="24"/>
                        <w:lang w:val="en-GB"/>
                      </w:rPr>
                      <w:t>Warwick Business School</w:t>
                    </w:r>
                  </w:p>
                </w:tc>
              </w:sdtContent>
            </w:sdt>
          </w:tr>
          <w:tr w:rsidR="00CF67B3" w:rsidRPr="001E4469" w14:paraId="75196956" w14:textId="77777777" w:rsidTr="469317DE">
            <w:tc>
              <w:tcPr>
                <w:tcW w:w="7672" w:type="dxa"/>
              </w:tcPr>
              <w:sdt>
                <w:sdtPr>
                  <w:rPr>
                    <w:rFonts w:asciiTheme="majorHAnsi" w:eastAsiaTheme="majorEastAsia" w:hAnsiTheme="majorHAnsi" w:cstheme="majorBidi"/>
                    <w:color w:val="156082" w:themeColor="accent1"/>
                    <w:sz w:val="88"/>
                    <w:szCs w:val="88"/>
                    <w:lang w:val="en-GB"/>
                  </w:rPr>
                  <w:alias w:val="Title"/>
                  <w:id w:val="13406919"/>
                  <w:placeholder>
                    <w:docPart w:val="FEFD6BF9E92D47ED803CB5567D0C4718"/>
                  </w:placeholder>
                  <w:dataBinding w:prefixMappings="xmlns:ns0='http://schemas.openxmlformats.org/package/2006/metadata/core-properties' xmlns:ns1='http://purl.org/dc/elements/1.1/'" w:xpath="/ns0:coreProperties[1]/ns1:title[1]" w:storeItemID="{6C3C8BC8-F283-45AE-878A-BAB7291924A1}"/>
                  <w:text/>
                </w:sdtPr>
                <w:sdtContent>
                  <w:p w14:paraId="53AED475" w14:textId="5E7A1F24" w:rsidR="00CF67B3" w:rsidRPr="001E4469" w:rsidRDefault="00874EC6" w:rsidP="469317DE">
                    <w:pPr>
                      <w:pStyle w:val="NoSpacing"/>
                      <w:spacing w:line="216" w:lineRule="auto"/>
                      <w:rPr>
                        <w:rFonts w:asciiTheme="majorHAnsi" w:eastAsiaTheme="majorEastAsia" w:hAnsiTheme="majorHAnsi" w:cstheme="majorBidi"/>
                        <w:color w:val="156082" w:themeColor="accent1"/>
                        <w:sz w:val="88"/>
                        <w:szCs w:val="88"/>
                        <w:lang w:val="en-GB"/>
                      </w:rPr>
                    </w:pPr>
                    <w:r w:rsidRPr="001E4469">
                      <w:rPr>
                        <w:rFonts w:asciiTheme="majorHAnsi" w:eastAsiaTheme="majorEastAsia" w:hAnsiTheme="majorHAnsi" w:cstheme="majorBidi"/>
                        <w:color w:val="156082" w:themeColor="accent1"/>
                        <w:sz w:val="88"/>
                        <w:szCs w:val="88"/>
                        <w:lang w:val="en-GB"/>
                      </w:rPr>
                      <w:t>Loan Risk Analysis</w:t>
                    </w:r>
                  </w:p>
                </w:sdtContent>
              </w:sdt>
            </w:tc>
          </w:tr>
          <w:tr w:rsidR="00CF67B3" w:rsidRPr="001E4469" w14:paraId="55FD6BBE" w14:textId="77777777" w:rsidTr="469317DE">
            <w:sdt>
              <w:sdtPr>
                <w:rPr>
                  <w:color w:val="0F4761" w:themeColor="accent1" w:themeShade="BF"/>
                  <w:sz w:val="24"/>
                  <w:szCs w:val="24"/>
                  <w:lang w:val="en-GB"/>
                </w:rPr>
                <w:alias w:val="Subtitle"/>
                <w:id w:val="13406923"/>
                <w:placeholder>
                  <w:docPart w:val="87D24445EBFF4E30A5B80C5577C89D1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AEB0A77" w14:textId="66403800" w:rsidR="00CF67B3" w:rsidRPr="001E4469" w:rsidRDefault="008E45D6">
                    <w:pPr>
                      <w:pStyle w:val="NoSpacing"/>
                      <w:rPr>
                        <w:color w:val="0F4761" w:themeColor="accent1" w:themeShade="BF"/>
                        <w:sz w:val="24"/>
                        <w:lang w:val="en-GB"/>
                      </w:rPr>
                    </w:pPr>
                    <w:r w:rsidRPr="001E4469">
                      <w:rPr>
                        <w:color w:val="0F4761" w:themeColor="accent1" w:themeShade="BF"/>
                        <w:sz w:val="24"/>
                        <w:szCs w:val="24"/>
                        <w:lang w:val="en-GB"/>
                      </w:rPr>
                      <w:t>Policy Eva</w:t>
                    </w:r>
                    <w:r w:rsidR="0022528B" w:rsidRPr="001E4469">
                      <w:rPr>
                        <w:color w:val="0F4761" w:themeColor="accent1" w:themeShade="BF"/>
                        <w:sz w:val="24"/>
                        <w:szCs w:val="24"/>
                        <w:lang w:val="en-GB"/>
                      </w:rPr>
                      <w:t xml:space="preserve">luation, Borrower Segmentation and Deep Learning for Default </w:t>
                    </w:r>
                    <w:r w:rsidR="00355C31" w:rsidRPr="001E4469">
                      <w:rPr>
                        <w:color w:val="0F4761" w:themeColor="accent1" w:themeShade="BF"/>
                        <w:sz w:val="24"/>
                        <w:szCs w:val="24"/>
                        <w:lang w:val="en-GB"/>
                      </w:rPr>
                      <w:t>Prediction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CF67B3" w:rsidRPr="001E4469" w14:paraId="55FF4BB3" w14:textId="77777777">
            <w:tc>
              <w:tcPr>
                <w:tcW w:w="7221" w:type="dxa"/>
                <w:tcMar>
                  <w:top w:w="216" w:type="dxa"/>
                  <w:left w:w="115" w:type="dxa"/>
                  <w:bottom w:w="216" w:type="dxa"/>
                  <w:right w:w="115" w:type="dxa"/>
                </w:tcMar>
              </w:tcPr>
              <w:sdt>
                <w:sdtPr>
                  <w:rPr>
                    <w:color w:val="156082" w:themeColor="accent1"/>
                    <w:sz w:val="28"/>
                    <w:szCs w:val="28"/>
                    <w:lang w:val="en-GB"/>
                  </w:rPr>
                  <w:alias w:val="Author"/>
                  <w:id w:val="13406928"/>
                  <w:placeholder>
                    <w:docPart w:val="C92B3EA4885A432D994FC3CAE5D8119E"/>
                  </w:placeholder>
                  <w:dataBinding w:prefixMappings="xmlns:ns0='http://schemas.openxmlformats.org/package/2006/metadata/core-properties' xmlns:ns1='http://purl.org/dc/elements/1.1/'" w:xpath="/ns0:coreProperties[1]/ns1:creator[1]" w:storeItemID="{6C3C8BC8-F283-45AE-878A-BAB7291924A1}"/>
                  <w:text/>
                </w:sdtPr>
                <w:sdtContent>
                  <w:p w14:paraId="761B433E" w14:textId="702ADA2E" w:rsidR="00CF67B3" w:rsidRPr="001E4469" w:rsidRDefault="00846C9F">
                    <w:pPr>
                      <w:pStyle w:val="NoSpacing"/>
                      <w:rPr>
                        <w:color w:val="156082" w:themeColor="accent1"/>
                        <w:sz w:val="28"/>
                        <w:szCs w:val="28"/>
                        <w:lang w:val="en-GB"/>
                      </w:rPr>
                    </w:pPr>
                    <w:r w:rsidRPr="001E4469">
                      <w:rPr>
                        <w:color w:val="156082" w:themeColor="accent1"/>
                        <w:sz w:val="28"/>
                        <w:szCs w:val="28"/>
                        <w:lang w:val="en-GB"/>
                      </w:rPr>
                      <w:t>Group 20</w:t>
                    </w:r>
                  </w:p>
                </w:sdtContent>
              </w:sdt>
              <w:sdt>
                <w:sdtPr>
                  <w:rPr>
                    <w:color w:val="156082" w:themeColor="accent1"/>
                    <w:sz w:val="28"/>
                    <w:szCs w:val="28"/>
                  </w:rPr>
                  <w:alias w:val="Date"/>
                  <w:tag w:val="Date"/>
                  <w:id w:val="13406932"/>
                  <w:placeholder>
                    <w:docPart w:val="B9A6ADDCB7234C88BF79986397944B2D"/>
                  </w:placeholder>
                  <w:dataBinding w:prefixMappings="xmlns:ns0='http://schemas.microsoft.com/office/2006/coverPageProps'" w:xpath="/ns0:CoverPageProperties[1]/ns0:PublishDate[1]" w:storeItemID="{55AF091B-3C7A-41E3-B477-F2FDAA23CFDA}"/>
                  <w:date w:fullDate="2026-03-23T00:00:00Z">
                    <w:dateFormat w:val="M-d-yyyy"/>
                    <w:lid w:val="en-US"/>
                    <w:storeMappedDataAs w:val="dateTime"/>
                    <w:calendar w:val="gregorian"/>
                  </w:date>
                </w:sdtPr>
                <w:sdtContent>
                  <w:p w14:paraId="0EEF9EF5" w14:textId="244EC1E9" w:rsidR="00CF67B3" w:rsidRPr="001E4469" w:rsidRDefault="00874EC6">
                    <w:pPr>
                      <w:rPr>
                        <w:color w:val="156082" w:themeColor="accent1"/>
                        <w:sz w:val="28"/>
                        <w:szCs w:val="28"/>
                      </w:rPr>
                    </w:pPr>
                    <w:r w:rsidRPr="001E4469">
                      <w:rPr>
                        <w:color w:val="156082" w:themeColor="accent1"/>
                        <w:sz w:val="28"/>
                        <w:szCs w:val="28"/>
                      </w:rPr>
                      <w:t>3-23-2026</w:t>
                    </w:r>
                  </w:p>
                </w:sdtContent>
              </w:sdt>
              <w:p w14:paraId="19B1D32E" w14:textId="77777777" w:rsidR="00CF67B3" w:rsidRPr="001E4469" w:rsidRDefault="00CF67B3">
                <w:pPr>
                  <w:rPr>
                    <w:color w:val="156082" w:themeColor="accent1"/>
                  </w:rPr>
                </w:pPr>
              </w:p>
            </w:tc>
          </w:tr>
        </w:tbl>
        <w:p w14:paraId="1E3DB7CC" w14:textId="11DE976F" w:rsidR="00FC154F" w:rsidRPr="001E4469" w:rsidRDefault="00CF67B3" w:rsidP="006C499E">
          <w:r w:rsidRPr="001E4469">
            <w:br w:type="page"/>
          </w:r>
        </w:p>
      </w:sdtContent>
    </w:sdt>
    <w:p w14:paraId="3D1E5A6C" w14:textId="77777777" w:rsidR="00FC154F" w:rsidRPr="001E4469" w:rsidRDefault="00FC154F" w:rsidP="00391A1A"/>
    <w:sdt>
      <w:sdtPr>
        <w:rPr>
          <w:lang w:val="en-GB"/>
        </w:rPr>
        <w:id w:val="-1058629676"/>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3DCFD308" w14:textId="32B4E2F5" w:rsidR="006C499E" w:rsidRPr="001E4469" w:rsidRDefault="006C499E">
          <w:pPr>
            <w:pStyle w:val="TOCHeading"/>
            <w:rPr>
              <w:lang w:val="en-GB"/>
            </w:rPr>
          </w:pPr>
          <w:r w:rsidRPr="001E4469">
            <w:rPr>
              <w:lang w:val="en-GB"/>
            </w:rPr>
            <w:t>Table of Contents</w:t>
          </w:r>
        </w:p>
        <w:p w14:paraId="00485A72" w14:textId="58BD9A0E" w:rsidR="00AF006B" w:rsidRPr="001E4469" w:rsidRDefault="006C499E">
          <w:pPr>
            <w:pStyle w:val="TOC1"/>
            <w:tabs>
              <w:tab w:val="right" w:leader="dot" w:pos="9350"/>
            </w:tabs>
            <w:rPr>
              <w:rFonts w:eastAsiaTheme="minorEastAsia"/>
            </w:rPr>
          </w:pPr>
          <w:r w:rsidRPr="001E4469">
            <w:fldChar w:fldCharType="begin"/>
          </w:r>
          <w:r w:rsidRPr="001E4469">
            <w:instrText xml:space="preserve"> TOC \o "1-3" \h \z \u </w:instrText>
          </w:r>
          <w:r w:rsidRPr="001E4469">
            <w:fldChar w:fldCharType="separate"/>
          </w:r>
          <w:hyperlink w:anchor="_Toc225096048" w:history="1">
            <w:r w:rsidR="00AF006B" w:rsidRPr="001E4469">
              <w:rPr>
                <w:rStyle w:val="Hyperlink"/>
              </w:rPr>
              <w:t>1. Introduction (129)</w:t>
            </w:r>
            <w:r w:rsidR="00AF006B" w:rsidRPr="001E4469">
              <w:rPr>
                <w:webHidden/>
              </w:rPr>
              <w:tab/>
            </w:r>
            <w:r w:rsidR="00AF006B" w:rsidRPr="001E4469">
              <w:rPr>
                <w:webHidden/>
              </w:rPr>
              <w:fldChar w:fldCharType="begin"/>
            </w:r>
            <w:r w:rsidR="00AF006B" w:rsidRPr="001E4469">
              <w:rPr>
                <w:webHidden/>
              </w:rPr>
              <w:instrText xml:space="preserve"> PAGEREF _Toc225096048 \h </w:instrText>
            </w:r>
            <w:r w:rsidR="00AF006B" w:rsidRPr="001E4469">
              <w:rPr>
                <w:webHidden/>
              </w:rPr>
            </w:r>
            <w:r w:rsidR="00AF006B" w:rsidRPr="001E4469">
              <w:rPr>
                <w:webHidden/>
              </w:rPr>
              <w:fldChar w:fldCharType="separate"/>
            </w:r>
            <w:r w:rsidR="00AF006B" w:rsidRPr="001E4469">
              <w:rPr>
                <w:webHidden/>
              </w:rPr>
              <w:t>3</w:t>
            </w:r>
            <w:r w:rsidR="00AF006B" w:rsidRPr="001E4469">
              <w:rPr>
                <w:webHidden/>
              </w:rPr>
              <w:fldChar w:fldCharType="end"/>
            </w:r>
          </w:hyperlink>
        </w:p>
        <w:p w14:paraId="72C275B8" w14:textId="36AF7789" w:rsidR="00AF006B" w:rsidRPr="001E4469" w:rsidRDefault="00AF006B">
          <w:pPr>
            <w:pStyle w:val="TOC1"/>
            <w:tabs>
              <w:tab w:val="right" w:leader="dot" w:pos="9350"/>
            </w:tabs>
            <w:rPr>
              <w:rFonts w:eastAsiaTheme="minorEastAsia"/>
            </w:rPr>
          </w:pPr>
          <w:hyperlink w:anchor="_Toc225096049" w:history="1">
            <w:r w:rsidRPr="001E4469">
              <w:rPr>
                <w:rStyle w:val="Hyperlink"/>
              </w:rPr>
              <w:t>2. Data Preparation and Cleaning (126)</w:t>
            </w:r>
            <w:r w:rsidRPr="001E4469">
              <w:rPr>
                <w:webHidden/>
              </w:rPr>
              <w:tab/>
            </w:r>
            <w:r w:rsidRPr="001E4469">
              <w:rPr>
                <w:webHidden/>
              </w:rPr>
              <w:fldChar w:fldCharType="begin"/>
            </w:r>
            <w:r w:rsidRPr="001E4469">
              <w:rPr>
                <w:webHidden/>
              </w:rPr>
              <w:instrText xml:space="preserve"> PAGEREF _Toc225096049 \h </w:instrText>
            </w:r>
            <w:r w:rsidRPr="001E4469">
              <w:rPr>
                <w:webHidden/>
              </w:rPr>
            </w:r>
            <w:r w:rsidRPr="001E4469">
              <w:rPr>
                <w:webHidden/>
              </w:rPr>
              <w:fldChar w:fldCharType="separate"/>
            </w:r>
            <w:r w:rsidRPr="001E4469">
              <w:rPr>
                <w:webHidden/>
              </w:rPr>
              <w:t>3</w:t>
            </w:r>
            <w:r w:rsidRPr="001E4469">
              <w:rPr>
                <w:webHidden/>
              </w:rPr>
              <w:fldChar w:fldCharType="end"/>
            </w:r>
          </w:hyperlink>
        </w:p>
        <w:p w14:paraId="292AF76D" w14:textId="2D63E8B1" w:rsidR="00AF006B" w:rsidRPr="001E4469" w:rsidRDefault="00AF006B">
          <w:pPr>
            <w:pStyle w:val="TOC1"/>
            <w:tabs>
              <w:tab w:val="right" w:leader="dot" w:pos="9350"/>
            </w:tabs>
            <w:rPr>
              <w:rFonts w:eastAsiaTheme="minorEastAsia"/>
            </w:rPr>
          </w:pPr>
          <w:hyperlink w:anchor="_Toc225096050" w:history="1">
            <w:r w:rsidRPr="001E4469">
              <w:rPr>
                <w:rStyle w:val="Hyperlink"/>
              </w:rPr>
              <w:t>3. A/B Testing of Loan Review Policies (679)</w:t>
            </w:r>
            <w:r w:rsidRPr="001E4469">
              <w:rPr>
                <w:webHidden/>
              </w:rPr>
              <w:tab/>
            </w:r>
            <w:r w:rsidRPr="001E4469">
              <w:rPr>
                <w:webHidden/>
              </w:rPr>
              <w:fldChar w:fldCharType="begin"/>
            </w:r>
            <w:r w:rsidRPr="001E4469">
              <w:rPr>
                <w:webHidden/>
              </w:rPr>
              <w:instrText xml:space="preserve"> PAGEREF _Toc225096050 \h </w:instrText>
            </w:r>
            <w:r w:rsidRPr="001E4469">
              <w:rPr>
                <w:webHidden/>
              </w:rPr>
            </w:r>
            <w:r w:rsidRPr="001E4469">
              <w:rPr>
                <w:webHidden/>
              </w:rPr>
              <w:fldChar w:fldCharType="separate"/>
            </w:r>
            <w:r w:rsidRPr="001E4469">
              <w:rPr>
                <w:webHidden/>
              </w:rPr>
              <w:t>3</w:t>
            </w:r>
            <w:r w:rsidRPr="001E4469">
              <w:rPr>
                <w:webHidden/>
              </w:rPr>
              <w:fldChar w:fldCharType="end"/>
            </w:r>
          </w:hyperlink>
        </w:p>
        <w:p w14:paraId="7062E1E4" w14:textId="4BF21A6D" w:rsidR="00AF006B" w:rsidRPr="001E4469" w:rsidRDefault="00AF006B">
          <w:pPr>
            <w:pStyle w:val="TOC2"/>
            <w:tabs>
              <w:tab w:val="right" w:leader="dot" w:pos="9350"/>
            </w:tabs>
            <w:rPr>
              <w:rFonts w:eastAsiaTheme="minorEastAsia"/>
            </w:rPr>
          </w:pPr>
          <w:hyperlink w:anchor="_Toc225096051" w:history="1">
            <w:r w:rsidRPr="001E4469">
              <w:rPr>
                <w:rStyle w:val="Hyperlink"/>
              </w:rPr>
              <w:t>3.1 Policy Definition (65)</w:t>
            </w:r>
            <w:r w:rsidRPr="001E4469">
              <w:rPr>
                <w:webHidden/>
              </w:rPr>
              <w:tab/>
            </w:r>
            <w:r w:rsidRPr="001E4469">
              <w:rPr>
                <w:webHidden/>
              </w:rPr>
              <w:fldChar w:fldCharType="begin"/>
            </w:r>
            <w:r w:rsidRPr="001E4469">
              <w:rPr>
                <w:webHidden/>
              </w:rPr>
              <w:instrText xml:space="preserve"> PAGEREF _Toc225096051 \h </w:instrText>
            </w:r>
            <w:r w:rsidRPr="001E4469">
              <w:rPr>
                <w:webHidden/>
              </w:rPr>
            </w:r>
            <w:r w:rsidRPr="001E4469">
              <w:rPr>
                <w:webHidden/>
              </w:rPr>
              <w:fldChar w:fldCharType="separate"/>
            </w:r>
            <w:r w:rsidRPr="001E4469">
              <w:rPr>
                <w:webHidden/>
              </w:rPr>
              <w:t>3</w:t>
            </w:r>
            <w:r w:rsidRPr="001E4469">
              <w:rPr>
                <w:webHidden/>
              </w:rPr>
              <w:fldChar w:fldCharType="end"/>
            </w:r>
          </w:hyperlink>
        </w:p>
        <w:p w14:paraId="1C80EB1B" w14:textId="0DD798EA" w:rsidR="00AF006B" w:rsidRPr="001E4469" w:rsidRDefault="00AF006B">
          <w:pPr>
            <w:pStyle w:val="TOC2"/>
            <w:tabs>
              <w:tab w:val="right" w:leader="dot" w:pos="9350"/>
            </w:tabs>
            <w:rPr>
              <w:rFonts w:eastAsiaTheme="minorEastAsia"/>
            </w:rPr>
          </w:pPr>
          <w:hyperlink w:anchor="_Toc225096052" w:history="1">
            <w:r w:rsidRPr="001E4469">
              <w:rPr>
                <w:rStyle w:val="Hyperlink"/>
              </w:rPr>
              <w:t>3.2 Evaluation Metric and Hypotheses (266)</w:t>
            </w:r>
            <w:r w:rsidRPr="001E4469">
              <w:rPr>
                <w:webHidden/>
              </w:rPr>
              <w:tab/>
            </w:r>
            <w:r w:rsidRPr="001E4469">
              <w:rPr>
                <w:webHidden/>
              </w:rPr>
              <w:fldChar w:fldCharType="begin"/>
            </w:r>
            <w:r w:rsidRPr="001E4469">
              <w:rPr>
                <w:webHidden/>
              </w:rPr>
              <w:instrText xml:space="preserve"> PAGEREF _Toc225096052 \h </w:instrText>
            </w:r>
            <w:r w:rsidRPr="001E4469">
              <w:rPr>
                <w:webHidden/>
              </w:rPr>
            </w:r>
            <w:r w:rsidRPr="001E4469">
              <w:rPr>
                <w:webHidden/>
              </w:rPr>
              <w:fldChar w:fldCharType="separate"/>
            </w:r>
            <w:r w:rsidRPr="001E4469">
              <w:rPr>
                <w:webHidden/>
              </w:rPr>
              <w:t>4</w:t>
            </w:r>
            <w:r w:rsidRPr="001E4469">
              <w:rPr>
                <w:webHidden/>
              </w:rPr>
              <w:fldChar w:fldCharType="end"/>
            </w:r>
          </w:hyperlink>
        </w:p>
        <w:p w14:paraId="18C82747" w14:textId="05A8205C" w:rsidR="00AF006B" w:rsidRPr="001E4469" w:rsidRDefault="00AF006B">
          <w:pPr>
            <w:pStyle w:val="TOC2"/>
            <w:tabs>
              <w:tab w:val="right" w:leader="dot" w:pos="9350"/>
            </w:tabs>
            <w:rPr>
              <w:rFonts w:eastAsiaTheme="minorEastAsia"/>
            </w:rPr>
          </w:pPr>
          <w:hyperlink w:anchor="_Toc225096053" w:history="1">
            <w:r w:rsidRPr="001E4469">
              <w:rPr>
                <w:rStyle w:val="Hyperlink"/>
              </w:rPr>
              <w:t>3.3 Policy Comparison (211)</w:t>
            </w:r>
            <w:r w:rsidRPr="001E4469">
              <w:rPr>
                <w:webHidden/>
              </w:rPr>
              <w:tab/>
            </w:r>
            <w:r w:rsidRPr="001E4469">
              <w:rPr>
                <w:webHidden/>
              </w:rPr>
              <w:fldChar w:fldCharType="begin"/>
            </w:r>
            <w:r w:rsidRPr="001E4469">
              <w:rPr>
                <w:webHidden/>
              </w:rPr>
              <w:instrText xml:space="preserve"> PAGEREF _Toc225096053 \h </w:instrText>
            </w:r>
            <w:r w:rsidRPr="001E4469">
              <w:rPr>
                <w:webHidden/>
              </w:rPr>
            </w:r>
            <w:r w:rsidRPr="001E4469">
              <w:rPr>
                <w:webHidden/>
              </w:rPr>
              <w:fldChar w:fldCharType="separate"/>
            </w:r>
            <w:r w:rsidRPr="001E4469">
              <w:rPr>
                <w:webHidden/>
              </w:rPr>
              <w:t>5</w:t>
            </w:r>
            <w:r w:rsidRPr="001E4469">
              <w:rPr>
                <w:webHidden/>
              </w:rPr>
              <w:fldChar w:fldCharType="end"/>
            </w:r>
          </w:hyperlink>
        </w:p>
        <w:p w14:paraId="519798AC" w14:textId="515086D0" w:rsidR="00AF006B" w:rsidRPr="001E4469" w:rsidRDefault="00AF006B">
          <w:pPr>
            <w:pStyle w:val="TOC2"/>
            <w:tabs>
              <w:tab w:val="right" w:leader="dot" w:pos="9350"/>
            </w:tabs>
            <w:rPr>
              <w:rFonts w:eastAsiaTheme="minorEastAsia"/>
            </w:rPr>
          </w:pPr>
          <w:hyperlink w:anchor="_Toc225096054" w:history="1">
            <w:r w:rsidRPr="001E4469">
              <w:rPr>
                <w:rStyle w:val="Hyperlink"/>
              </w:rPr>
              <w:t>3.4 Limitations (135)</w:t>
            </w:r>
            <w:r w:rsidRPr="001E4469">
              <w:rPr>
                <w:webHidden/>
              </w:rPr>
              <w:tab/>
            </w:r>
            <w:r w:rsidRPr="001E4469">
              <w:rPr>
                <w:webHidden/>
              </w:rPr>
              <w:fldChar w:fldCharType="begin"/>
            </w:r>
            <w:r w:rsidRPr="001E4469">
              <w:rPr>
                <w:webHidden/>
              </w:rPr>
              <w:instrText xml:space="preserve"> PAGEREF _Toc225096054 \h </w:instrText>
            </w:r>
            <w:r w:rsidRPr="001E4469">
              <w:rPr>
                <w:webHidden/>
              </w:rPr>
            </w:r>
            <w:r w:rsidRPr="001E4469">
              <w:rPr>
                <w:webHidden/>
              </w:rPr>
              <w:fldChar w:fldCharType="separate"/>
            </w:r>
            <w:r w:rsidRPr="001E4469">
              <w:rPr>
                <w:webHidden/>
              </w:rPr>
              <w:t>6</w:t>
            </w:r>
            <w:r w:rsidRPr="001E4469">
              <w:rPr>
                <w:webHidden/>
              </w:rPr>
              <w:fldChar w:fldCharType="end"/>
            </w:r>
          </w:hyperlink>
        </w:p>
        <w:p w14:paraId="3FC8DC12" w14:textId="4B6EE084" w:rsidR="00AF006B" w:rsidRPr="001E4469" w:rsidRDefault="00AF006B">
          <w:pPr>
            <w:pStyle w:val="TOC1"/>
            <w:tabs>
              <w:tab w:val="right" w:leader="dot" w:pos="9350"/>
            </w:tabs>
            <w:rPr>
              <w:rFonts w:eastAsiaTheme="minorEastAsia"/>
            </w:rPr>
          </w:pPr>
          <w:hyperlink w:anchor="_Toc225096055" w:history="1">
            <w:r w:rsidRPr="001E4469">
              <w:rPr>
                <w:rStyle w:val="Hyperlink"/>
              </w:rPr>
              <w:t>4. Borrower Segmentation via Cluster Analysis (665)</w:t>
            </w:r>
            <w:r w:rsidRPr="001E4469">
              <w:rPr>
                <w:webHidden/>
              </w:rPr>
              <w:tab/>
            </w:r>
            <w:r w:rsidRPr="001E4469">
              <w:rPr>
                <w:webHidden/>
              </w:rPr>
              <w:fldChar w:fldCharType="begin"/>
            </w:r>
            <w:r w:rsidRPr="001E4469">
              <w:rPr>
                <w:webHidden/>
              </w:rPr>
              <w:instrText xml:space="preserve"> PAGEREF _Toc225096055 \h </w:instrText>
            </w:r>
            <w:r w:rsidRPr="001E4469">
              <w:rPr>
                <w:webHidden/>
              </w:rPr>
            </w:r>
            <w:r w:rsidRPr="001E4469">
              <w:rPr>
                <w:webHidden/>
              </w:rPr>
              <w:fldChar w:fldCharType="separate"/>
            </w:r>
            <w:r w:rsidRPr="001E4469">
              <w:rPr>
                <w:webHidden/>
              </w:rPr>
              <w:t>6</w:t>
            </w:r>
            <w:r w:rsidRPr="001E4469">
              <w:rPr>
                <w:webHidden/>
              </w:rPr>
              <w:fldChar w:fldCharType="end"/>
            </w:r>
          </w:hyperlink>
        </w:p>
        <w:p w14:paraId="17AF735C" w14:textId="040612AA" w:rsidR="00AF006B" w:rsidRPr="001E4469" w:rsidRDefault="00AF006B">
          <w:pPr>
            <w:pStyle w:val="TOC2"/>
            <w:tabs>
              <w:tab w:val="right" w:leader="dot" w:pos="9350"/>
            </w:tabs>
            <w:rPr>
              <w:rFonts w:eastAsiaTheme="minorEastAsia"/>
            </w:rPr>
          </w:pPr>
          <w:hyperlink w:anchor="_Toc225096056" w:history="1">
            <w:r w:rsidRPr="001E4469">
              <w:rPr>
                <w:rStyle w:val="Hyperlink"/>
              </w:rPr>
              <w:t>4.1 Feature Selection and Methodology (147)</w:t>
            </w:r>
            <w:r w:rsidRPr="001E4469">
              <w:rPr>
                <w:webHidden/>
              </w:rPr>
              <w:tab/>
            </w:r>
            <w:r w:rsidRPr="001E4469">
              <w:rPr>
                <w:webHidden/>
              </w:rPr>
              <w:fldChar w:fldCharType="begin"/>
            </w:r>
            <w:r w:rsidRPr="001E4469">
              <w:rPr>
                <w:webHidden/>
              </w:rPr>
              <w:instrText xml:space="preserve"> PAGEREF _Toc225096056 \h </w:instrText>
            </w:r>
            <w:r w:rsidRPr="001E4469">
              <w:rPr>
                <w:webHidden/>
              </w:rPr>
            </w:r>
            <w:r w:rsidRPr="001E4469">
              <w:rPr>
                <w:webHidden/>
              </w:rPr>
              <w:fldChar w:fldCharType="separate"/>
            </w:r>
            <w:r w:rsidRPr="001E4469">
              <w:rPr>
                <w:webHidden/>
              </w:rPr>
              <w:t>6</w:t>
            </w:r>
            <w:r w:rsidRPr="001E4469">
              <w:rPr>
                <w:webHidden/>
              </w:rPr>
              <w:fldChar w:fldCharType="end"/>
            </w:r>
          </w:hyperlink>
        </w:p>
        <w:p w14:paraId="40E95B93" w14:textId="32156879" w:rsidR="00AF006B" w:rsidRPr="001E4469" w:rsidRDefault="00AF006B">
          <w:pPr>
            <w:pStyle w:val="TOC2"/>
            <w:tabs>
              <w:tab w:val="right" w:leader="dot" w:pos="9350"/>
            </w:tabs>
            <w:rPr>
              <w:rFonts w:eastAsiaTheme="minorEastAsia"/>
            </w:rPr>
          </w:pPr>
          <w:hyperlink w:anchor="_Toc225096057" w:history="1">
            <w:r w:rsidRPr="001E4469">
              <w:rPr>
                <w:rStyle w:val="Hyperlink"/>
              </w:rPr>
              <w:t>4.2 Cluster Profiles (174)</w:t>
            </w:r>
            <w:r w:rsidRPr="001E4469">
              <w:rPr>
                <w:webHidden/>
              </w:rPr>
              <w:tab/>
            </w:r>
            <w:r w:rsidRPr="001E4469">
              <w:rPr>
                <w:webHidden/>
              </w:rPr>
              <w:fldChar w:fldCharType="begin"/>
            </w:r>
            <w:r w:rsidRPr="001E4469">
              <w:rPr>
                <w:webHidden/>
              </w:rPr>
              <w:instrText xml:space="preserve"> PAGEREF _Toc225096057 \h </w:instrText>
            </w:r>
            <w:r w:rsidRPr="001E4469">
              <w:rPr>
                <w:webHidden/>
              </w:rPr>
            </w:r>
            <w:r w:rsidRPr="001E4469">
              <w:rPr>
                <w:webHidden/>
              </w:rPr>
              <w:fldChar w:fldCharType="separate"/>
            </w:r>
            <w:r w:rsidRPr="001E4469">
              <w:rPr>
                <w:webHidden/>
              </w:rPr>
              <w:t>7</w:t>
            </w:r>
            <w:r w:rsidRPr="001E4469">
              <w:rPr>
                <w:webHidden/>
              </w:rPr>
              <w:fldChar w:fldCharType="end"/>
            </w:r>
          </w:hyperlink>
        </w:p>
        <w:p w14:paraId="536AF75C" w14:textId="46C6C079" w:rsidR="00AF006B" w:rsidRPr="001E4469" w:rsidRDefault="00AF006B">
          <w:pPr>
            <w:pStyle w:val="TOC2"/>
            <w:tabs>
              <w:tab w:val="right" w:leader="dot" w:pos="9350"/>
            </w:tabs>
            <w:rPr>
              <w:rFonts w:eastAsiaTheme="minorEastAsia"/>
            </w:rPr>
          </w:pPr>
          <w:hyperlink w:anchor="_Toc225096058" w:history="1">
            <w:r w:rsidRPr="001E4469">
              <w:rPr>
                <w:rStyle w:val="Hyperlink"/>
              </w:rPr>
              <w:t>4.3 Policy Performance by Cluster (344)</w:t>
            </w:r>
            <w:r w:rsidRPr="001E4469">
              <w:rPr>
                <w:webHidden/>
              </w:rPr>
              <w:tab/>
            </w:r>
            <w:r w:rsidRPr="001E4469">
              <w:rPr>
                <w:webHidden/>
              </w:rPr>
              <w:fldChar w:fldCharType="begin"/>
            </w:r>
            <w:r w:rsidRPr="001E4469">
              <w:rPr>
                <w:webHidden/>
              </w:rPr>
              <w:instrText xml:space="preserve"> PAGEREF _Toc225096058 \h </w:instrText>
            </w:r>
            <w:r w:rsidRPr="001E4469">
              <w:rPr>
                <w:webHidden/>
              </w:rPr>
            </w:r>
            <w:r w:rsidRPr="001E4469">
              <w:rPr>
                <w:webHidden/>
              </w:rPr>
              <w:fldChar w:fldCharType="separate"/>
            </w:r>
            <w:r w:rsidRPr="001E4469">
              <w:rPr>
                <w:webHidden/>
              </w:rPr>
              <w:t>9</w:t>
            </w:r>
            <w:r w:rsidRPr="001E4469">
              <w:rPr>
                <w:webHidden/>
              </w:rPr>
              <w:fldChar w:fldCharType="end"/>
            </w:r>
          </w:hyperlink>
        </w:p>
        <w:p w14:paraId="49A05FE9" w14:textId="1ADD6568" w:rsidR="00AF006B" w:rsidRPr="001E4469" w:rsidRDefault="00AF006B">
          <w:pPr>
            <w:pStyle w:val="TOC1"/>
            <w:tabs>
              <w:tab w:val="right" w:leader="dot" w:pos="9350"/>
            </w:tabs>
            <w:rPr>
              <w:rFonts w:eastAsiaTheme="minorEastAsia"/>
            </w:rPr>
          </w:pPr>
          <w:hyperlink w:anchor="_Toc225096059" w:history="1">
            <w:r w:rsidRPr="001E4469">
              <w:rPr>
                <w:rStyle w:val="Hyperlink"/>
              </w:rPr>
              <w:t>5. Deep Learning for Default Prediction (537)</w:t>
            </w:r>
            <w:r w:rsidRPr="001E4469">
              <w:rPr>
                <w:webHidden/>
              </w:rPr>
              <w:tab/>
            </w:r>
            <w:r w:rsidRPr="001E4469">
              <w:rPr>
                <w:webHidden/>
              </w:rPr>
              <w:fldChar w:fldCharType="begin"/>
            </w:r>
            <w:r w:rsidRPr="001E4469">
              <w:rPr>
                <w:webHidden/>
              </w:rPr>
              <w:instrText xml:space="preserve"> PAGEREF _Toc225096059 \h </w:instrText>
            </w:r>
            <w:r w:rsidRPr="001E4469">
              <w:rPr>
                <w:webHidden/>
              </w:rPr>
            </w:r>
            <w:r w:rsidRPr="001E4469">
              <w:rPr>
                <w:webHidden/>
              </w:rPr>
              <w:fldChar w:fldCharType="separate"/>
            </w:r>
            <w:r w:rsidRPr="001E4469">
              <w:rPr>
                <w:webHidden/>
              </w:rPr>
              <w:t>10</w:t>
            </w:r>
            <w:r w:rsidRPr="001E4469">
              <w:rPr>
                <w:webHidden/>
              </w:rPr>
              <w:fldChar w:fldCharType="end"/>
            </w:r>
          </w:hyperlink>
        </w:p>
        <w:p w14:paraId="288C3F2B" w14:textId="10392964" w:rsidR="00AF006B" w:rsidRPr="001E4469" w:rsidRDefault="00AF006B">
          <w:pPr>
            <w:pStyle w:val="TOC2"/>
            <w:tabs>
              <w:tab w:val="right" w:leader="dot" w:pos="9350"/>
            </w:tabs>
            <w:rPr>
              <w:rFonts w:eastAsiaTheme="minorEastAsia"/>
            </w:rPr>
          </w:pPr>
          <w:hyperlink w:anchor="_Toc225096060" w:history="1">
            <w:r w:rsidRPr="001E4469">
              <w:rPr>
                <w:rStyle w:val="Hyperlink"/>
              </w:rPr>
              <w:t>5.1 Prediction Task and Data Split (121)</w:t>
            </w:r>
            <w:r w:rsidRPr="001E4469">
              <w:rPr>
                <w:webHidden/>
              </w:rPr>
              <w:tab/>
            </w:r>
            <w:r w:rsidRPr="001E4469">
              <w:rPr>
                <w:webHidden/>
              </w:rPr>
              <w:fldChar w:fldCharType="begin"/>
            </w:r>
            <w:r w:rsidRPr="001E4469">
              <w:rPr>
                <w:webHidden/>
              </w:rPr>
              <w:instrText xml:space="preserve"> PAGEREF _Toc225096060 \h </w:instrText>
            </w:r>
            <w:r w:rsidRPr="001E4469">
              <w:rPr>
                <w:webHidden/>
              </w:rPr>
            </w:r>
            <w:r w:rsidRPr="001E4469">
              <w:rPr>
                <w:webHidden/>
              </w:rPr>
              <w:fldChar w:fldCharType="separate"/>
            </w:r>
            <w:r w:rsidRPr="001E4469">
              <w:rPr>
                <w:webHidden/>
              </w:rPr>
              <w:t>10</w:t>
            </w:r>
            <w:r w:rsidRPr="001E4469">
              <w:rPr>
                <w:webHidden/>
              </w:rPr>
              <w:fldChar w:fldCharType="end"/>
            </w:r>
          </w:hyperlink>
        </w:p>
        <w:p w14:paraId="27602013" w14:textId="167FFE57" w:rsidR="00AF006B" w:rsidRPr="001E4469" w:rsidRDefault="00AF006B">
          <w:pPr>
            <w:pStyle w:val="TOC2"/>
            <w:tabs>
              <w:tab w:val="right" w:leader="dot" w:pos="9350"/>
            </w:tabs>
            <w:rPr>
              <w:rFonts w:eastAsiaTheme="minorEastAsia"/>
            </w:rPr>
          </w:pPr>
          <w:hyperlink w:anchor="_Toc225096061" w:history="1">
            <w:r w:rsidRPr="001E4469">
              <w:rPr>
                <w:rStyle w:val="Hyperlink"/>
              </w:rPr>
              <w:t>5.2 Model Design and Training (178)</w:t>
            </w:r>
            <w:r w:rsidRPr="001E4469">
              <w:rPr>
                <w:webHidden/>
              </w:rPr>
              <w:tab/>
            </w:r>
            <w:r w:rsidRPr="001E4469">
              <w:rPr>
                <w:webHidden/>
              </w:rPr>
              <w:fldChar w:fldCharType="begin"/>
            </w:r>
            <w:r w:rsidRPr="001E4469">
              <w:rPr>
                <w:webHidden/>
              </w:rPr>
              <w:instrText xml:space="preserve"> PAGEREF _Toc225096061 \h </w:instrText>
            </w:r>
            <w:r w:rsidRPr="001E4469">
              <w:rPr>
                <w:webHidden/>
              </w:rPr>
            </w:r>
            <w:r w:rsidRPr="001E4469">
              <w:rPr>
                <w:webHidden/>
              </w:rPr>
              <w:fldChar w:fldCharType="separate"/>
            </w:r>
            <w:r w:rsidRPr="001E4469">
              <w:rPr>
                <w:webHidden/>
              </w:rPr>
              <w:t>11</w:t>
            </w:r>
            <w:r w:rsidRPr="001E4469">
              <w:rPr>
                <w:webHidden/>
              </w:rPr>
              <w:fldChar w:fldCharType="end"/>
            </w:r>
          </w:hyperlink>
        </w:p>
        <w:p w14:paraId="2DBB4F5F" w14:textId="716203F4" w:rsidR="00AF006B" w:rsidRPr="001E4469" w:rsidRDefault="00AF006B">
          <w:pPr>
            <w:pStyle w:val="TOC2"/>
            <w:tabs>
              <w:tab w:val="right" w:leader="dot" w:pos="9350"/>
            </w:tabs>
            <w:rPr>
              <w:rFonts w:eastAsiaTheme="minorEastAsia"/>
            </w:rPr>
          </w:pPr>
          <w:hyperlink w:anchor="_Toc225096062" w:history="1">
            <w:r w:rsidRPr="001E4469">
              <w:rPr>
                <w:rStyle w:val="Hyperlink"/>
              </w:rPr>
              <w:t>5.3 Model Evaluation (238)</w:t>
            </w:r>
            <w:r w:rsidRPr="001E4469">
              <w:rPr>
                <w:webHidden/>
              </w:rPr>
              <w:tab/>
            </w:r>
            <w:r w:rsidRPr="001E4469">
              <w:rPr>
                <w:webHidden/>
              </w:rPr>
              <w:fldChar w:fldCharType="begin"/>
            </w:r>
            <w:r w:rsidRPr="001E4469">
              <w:rPr>
                <w:webHidden/>
              </w:rPr>
              <w:instrText xml:space="preserve"> PAGEREF _Toc225096062 \h </w:instrText>
            </w:r>
            <w:r w:rsidRPr="001E4469">
              <w:rPr>
                <w:webHidden/>
              </w:rPr>
            </w:r>
            <w:r w:rsidRPr="001E4469">
              <w:rPr>
                <w:webHidden/>
              </w:rPr>
              <w:fldChar w:fldCharType="separate"/>
            </w:r>
            <w:r w:rsidRPr="001E4469">
              <w:rPr>
                <w:webHidden/>
              </w:rPr>
              <w:t>11</w:t>
            </w:r>
            <w:r w:rsidRPr="001E4469">
              <w:rPr>
                <w:webHidden/>
              </w:rPr>
              <w:fldChar w:fldCharType="end"/>
            </w:r>
          </w:hyperlink>
        </w:p>
        <w:p w14:paraId="05E0BA85" w14:textId="733EC34E" w:rsidR="00AF006B" w:rsidRPr="001E4469" w:rsidRDefault="00AF006B">
          <w:pPr>
            <w:pStyle w:val="TOC1"/>
            <w:tabs>
              <w:tab w:val="right" w:leader="dot" w:pos="9350"/>
            </w:tabs>
            <w:rPr>
              <w:rFonts w:eastAsiaTheme="minorEastAsia"/>
            </w:rPr>
          </w:pPr>
          <w:hyperlink w:anchor="_Toc225096063" w:history="1">
            <w:r w:rsidRPr="001E4469">
              <w:rPr>
                <w:rStyle w:val="Hyperlink"/>
              </w:rPr>
              <w:t>6. Integrated Recommendation (336)</w:t>
            </w:r>
            <w:r w:rsidRPr="001E4469">
              <w:rPr>
                <w:webHidden/>
              </w:rPr>
              <w:tab/>
            </w:r>
            <w:r w:rsidRPr="001E4469">
              <w:rPr>
                <w:webHidden/>
              </w:rPr>
              <w:fldChar w:fldCharType="begin"/>
            </w:r>
            <w:r w:rsidRPr="001E4469">
              <w:rPr>
                <w:webHidden/>
              </w:rPr>
              <w:instrText xml:space="preserve"> PAGEREF _Toc225096063 \h </w:instrText>
            </w:r>
            <w:r w:rsidRPr="001E4469">
              <w:rPr>
                <w:webHidden/>
              </w:rPr>
            </w:r>
            <w:r w:rsidRPr="001E4469">
              <w:rPr>
                <w:webHidden/>
              </w:rPr>
              <w:fldChar w:fldCharType="separate"/>
            </w:r>
            <w:r w:rsidRPr="001E4469">
              <w:rPr>
                <w:webHidden/>
              </w:rPr>
              <w:t>13</w:t>
            </w:r>
            <w:r w:rsidRPr="001E4469">
              <w:rPr>
                <w:webHidden/>
              </w:rPr>
              <w:fldChar w:fldCharType="end"/>
            </w:r>
          </w:hyperlink>
        </w:p>
        <w:p w14:paraId="19602CFA" w14:textId="696C8DDA" w:rsidR="00AF006B" w:rsidRPr="001E4469" w:rsidRDefault="00AF006B">
          <w:pPr>
            <w:pStyle w:val="TOC2"/>
            <w:tabs>
              <w:tab w:val="right" w:leader="dot" w:pos="9350"/>
            </w:tabs>
            <w:rPr>
              <w:rFonts w:eastAsiaTheme="minorEastAsia"/>
            </w:rPr>
          </w:pPr>
          <w:hyperlink w:anchor="_Toc225096064" w:history="1">
            <w:r w:rsidRPr="001E4469">
              <w:rPr>
                <w:rStyle w:val="Hyperlink"/>
              </w:rPr>
              <w:t>6.1 Integration Methods (156)</w:t>
            </w:r>
            <w:r w:rsidRPr="001E4469">
              <w:rPr>
                <w:webHidden/>
              </w:rPr>
              <w:tab/>
            </w:r>
            <w:r w:rsidRPr="001E4469">
              <w:rPr>
                <w:webHidden/>
              </w:rPr>
              <w:fldChar w:fldCharType="begin"/>
            </w:r>
            <w:r w:rsidRPr="001E4469">
              <w:rPr>
                <w:webHidden/>
              </w:rPr>
              <w:instrText xml:space="preserve"> PAGEREF _Toc225096064 \h </w:instrText>
            </w:r>
            <w:r w:rsidRPr="001E4469">
              <w:rPr>
                <w:webHidden/>
              </w:rPr>
            </w:r>
            <w:r w:rsidRPr="001E4469">
              <w:rPr>
                <w:webHidden/>
              </w:rPr>
              <w:fldChar w:fldCharType="separate"/>
            </w:r>
            <w:r w:rsidRPr="001E4469">
              <w:rPr>
                <w:webHidden/>
              </w:rPr>
              <w:t>13</w:t>
            </w:r>
            <w:r w:rsidRPr="001E4469">
              <w:rPr>
                <w:webHidden/>
              </w:rPr>
              <w:fldChar w:fldCharType="end"/>
            </w:r>
          </w:hyperlink>
        </w:p>
        <w:p w14:paraId="19AA3030" w14:textId="5A3BCA58" w:rsidR="00AF006B" w:rsidRPr="001E4469" w:rsidRDefault="00AF006B">
          <w:pPr>
            <w:pStyle w:val="TOC2"/>
            <w:tabs>
              <w:tab w:val="right" w:leader="dot" w:pos="9350"/>
            </w:tabs>
            <w:rPr>
              <w:rFonts w:eastAsiaTheme="minorEastAsia"/>
            </w:rPr>
          </w:pPr>
          <w:hyperlink w:anchor="_Toc225096065" w:history="1">
            <w:r w:rsidRPr="001E4469">
              <w:rPr>
                <w:rStyle w:val="Hyperlink"/>
              </w:rPr>
              <w:t>6.2 Policy Insights and Next Steps (180)</w:t>
            </w:r>
            <w:r w:rsidRPr="001E4469">
              <w:rPr>
                <w:webHidden/>
              </w:rPr>
              <w:tab/>
            </w:r>
            <w:r w:rsidRPr="001E4469">
              <w:rPr>
                <w:webHidden/>
              </w:rPr>
              <w:fldChar w:fldCharType="begin"/>
            </w:r>
            <w:r w:rsidRPr="001E4469">
              <w:rPr>
                <w:webHidden/>
              </w:rPr>
              <w:instrText xml:space="preserve"> PAGEREF _Toc225096065 \h </w:instrText>
            </w:r>
            <w:r w:rsidRPr="001E4469">
              <w:rPr>
                <w:webHidden/>
              </w:rPr>
            </w:r>
            <w:r w:rsidRPr="001E4469">
              <w:rPr>
                <w:webHidden/>
              </w:rPr>
              <w:fldChar w:fldCharType="separate"/>
            </w:r>
            <w:r w:rsidRPr="001E4469">
              <w:rPr>
                <w:webHidden/>
              </w:rPr>
              <w:t>13</w:t>
            </w:r>
            <w:r w:rsidRPr="001E4469">
              <w:rPr>
                <w:webHidden/>
              </w:rPr>
              <w:fldChar w:fldCharType="end"/>
            </w:r>
          </w:hyperlink>
        </w:p>
        <w:p w14:paraId="31077236" w14:textId="06F8F41F" w:rsidR="00AF006B" w:rsidRPr="001E4469" w:rsidRDefault="00AF006B">
          <w:pPr>
            <w:pStyle w:val="TOC1"/>
            <w:tabs>
              <w:tab w:val="right" w:leader="dot" w:pos="9350"/>
            </w:tabs>
            <w:rPr>
              <w:rFonts w:eastAsiaTheme="minorEastAsia"/>
            </w:rPr>
          </w:pPr>
          <w:hyperlink w:anchor="_Toc225096066" w:history="1">
            <w:r w:rsidRPr="001E4469">
              <w:rPr>
                <w:rStyle w:val="Hyperlink"/>
              </w:rPr>
              <w:t>7. References</w:t>
            </w:r>
            <w:r w:rsidRPr="001E4469">
              <w:rPr>
                <w:webHidden/>
              </w:rPr>
              <w:tab/>
            </w:r>
            <w:r w:rsidRPr="001E4469">
              <w:rPr>
                <w:webHidden/>
              </w:rPr>
              <w:fldChar w:fldCharType="begin"/>
            </w:r>
            <w:r w:rsidRPr="001E4469">
              <w:rPr>
                <w:webHidden/>
              </w:rPr>
              <w:instrText xml:space="preserve"> PAGEREF _Toc225096066 \h </w:instrText>
            </w:r>
            <w:r w:rsidRPr="001E4469">
              <w:rPr>
                <w:webHidden/>
              </w:rPr>
            </w:r>
            <w:r w:rsidRPr="001E4469">
              <w:rPr>
                <w:webHidden/>
              </w:rPr>
              <w:fldChar w:fldCharType="separate"/>
            </w:r>
            <w:r w:rsidRPr="001E4469">
              <w:rPr>
                <w:webHidden/>
              </w:rPr>
              <w:t>14</w:t>
            </w:r>
            <w:r w:rsidRPr="001E4469">
              <w:rPr>
                <w:webHidden/>
              </w:rPr>
              <w:fldChar w:fldCharType="end"/>
            </w:r>
          </w:hyperlink>
        </w:p>
        <w:p w14:paraId="68DFAC40" w14:textId="05B5541E" w:rsidR="006C499E" w:rsidRPr="001E4469" w:rsidRDefault="006C499E">
          <w:r w:rsidRPr="001E4469">
            <w:rPr>
              <w:b/>
              <w:bCs/>
            </w:rPr>
            <w:fldChar w:fldCharType="end"/>
          </w:r>
        </w:p>
      </w:sdtContent>
    </w:sdt>
    <w:p w14:paraId="5077AB38" w14:textId="77777777" w:rsidR="00FC154F" w:rsidRPr="001E4469" w:rsidRDefault="00FC154F" w:rsidP="00391A1A">
      <w:pPr>
        <w:rPr>
          <w:rFonts w:asciiTheme="majorHAnsi" w:eastAsiaTheme="majorEastAsia" w:hAnsiTheme="majorHAnsi" w:cstheme="majorBidi"/>
          <w:color w:val="0F4761" w:themeColor="accent1" w:themeShade="BF"/>
          <w:sz w:val="40"/>
          <w:szCs w:val="40"/>
        </w:rPr>
      </w:pPr>
    </w:p>
    <w:p w14:paraId="6FE5DA84" w14:textId="77777777" w:rsidR="008A3682" w:rsidRPr="001E4469" w:rsidRDefault="008A3682" w:rsidP="00391A1A">
      <w:pPr>
        <w:rPr>
          <w:rFonts w:asciiTheme="majorHAnsi" w:eastAsiaTheme="majorEastAsia" w:hAnsiTheme="majorHAnsi" w:cstheme="majorBidi"/>
          <w:color w:val="0F4761" w:themeColor="accent1" w:themeShade="BF"/>
          <w:sz w:val="40"/>
          <w:szCs w:val="40"/>
        </w:rPr>
      </w:pPr>
    </w:p>
    <w:p w14:paraId="1BD8E9CA" w14:textId="77777777" w:rsidR="009B2331" w:rsidRPr="001E4469" w:rsidRDefault="009B2331" w:rsidP="009B2331">
      <w:pPr>
        <w:pStyle w:val="TOCHeading"/>
        <w:rPr>
          <w:lang w:val="en-GB"/>
        </w:rPr>
      </w:pPr>
    </w:p>
    <w:p w14:paraId="7366001C" w14:textId="77777777" w:rsidR="00480205" w:rsidRPr="001E4469" w:rsidRDefault="00480205" w:rsidP="00480205"/>
    <w:p w14:paraId="3D0513E1" w14:textId="10B21B95" w:rsidR="009B2331" w:rsidRPr="001E4469" w:rsidRDefault="009B2331" w:rsidP="009B2331">
      <w:pPr>
        <w:pStyle w:val="TOCHeading"/>
        <w:rPr>
          <w:lang w:val="en-GB"/>
        </w:rPr>
      </w:pPr>
      <w:r w:rsidRPr="001E4469">
        <w:rPr>
          <w:lang w:val="en-GB"/>
        </w:rPr>
        <w:lastRenderedPageBreak/>
        <w:t xml:space="preserve">List of Figures </w:t>
      </w:r>
    </w:p>
    <w:p w14:paraId="39310076" w14:textId="0EE6883C" w:rsidR="009B2331" w:rsidRPr="001E4469" w:rsidRDefault="009B2331">
      <w:pPr>
        <w:pStyle w:val="TableofFigures"/>
        <w:tabs>
          <w:tab w:val="right" w:leader="dot" w:pos="9350"/>
        </w:tabs>
      </w:pPr>
      <w:r w:rsidRPr="001E4469">
        <w:rPr>
          <w:rFonts w:asciiTheme="majorHAnsi" w:eastAsiaTheme="majorEastAsia" w:hAnsiTheme="majorHAnsi" w:cstheme="majorBidi"/>
          <w:color w:val="0F4761" w:themeColor="accent1" w:themeShade="BF"/>
          <w:sz w:val="40"/>
          <w:szCs w:val="40"/>
        </w:rPr>
        <w:fldChar w:fldCharType="begin"/>
      </w:r>
      <w:r w:rsidRPr="001E4469">
        <w:rPr>
          <w:rFonts w:asciiTheme="majorHAnsi" w:eastAsiaTheme="majorEastAsia" w:hAnsiTheme="majorHAnsi" w:cstheme="majorBidi"/>
          <w:color w:val="0F4761" w:themeColor="accent1" w:themeShade="BF"/>
          <w:sz w:val="40"/>
          <w:szCs w:val="40"/>
        </w:rPr>
        <w:instrText xml:space="preserve"> TOC \h \z \c "Figure" </w:instrText>
      </w:r>
      <w:r w:rsidRPr="001E4469">
        <w:rPr>
          <w:rFonts w:asciiTheme="majorHAnsi" w:eastAsiaTheme="majorEastAsia" w:hAnsiTheme="majorHAnsi" w:cstheme="majorBidi"/>
          <w:color w:val="0F4761" w:themeColor="accent1" w:themeShade="BF"/>
          <w:sz w:val="40"/>
          <w:szCs w:val="40"/>
        </w:rPr>
        <w:fldChar w:fldCharType="separate"/>
      </w:r>
      <w:hyperlink w:anchor="_Toc225095902" w:history="1">
        <w:r w:rsidRPr="001E4469">
          <w:rPr>
            <w:rStyle w:val="Hyperlink"/>
          </w:rPr>
          <w:t>Figure 1 Default Rate by Loan Grade with Policy Boudaries</w:t>
        </w:r>
        <w:r w:rsidRPr="001E4469">
          <w:rPr>
            <w:webHidden/>
          </w:rPr>
          <w:tab/>
        </w:r>
        <w:r w:rsidRPr="001E4469">
          <w:rPr>
            <w:webHidden/>
          </w:rPr>
          <w:fldChar w:fldCharType="begin"/>
        </w:r>
        <w:r w:rsidRPr="001E4469">
          <w:rPr>
            <w:webHidden/>
          </w:rPr>
          <w:instrText xml:space="preserve"> PAGEREF _Toc225095902 \h </w:instrText>
        </w:r>
        <w:r w:rsidRPr="001E4469">
          <w:rPr>
            <w:webHidden/>
          </w:rPr>
        </w:r>
        <w:r w:rsidRPr="001E4469">
          <w:rPr>
            <w:webHidden/>
          </w:rPr>
          <w:fldChar w:fldCharType="separate"/>
        </w:r>
        <w:r w:rsidRPr="001E4469">
          <w:rPr>
            <w:webHidden/>
          </w:rPr>
          <w:t>5</w:t>
        </w:r>
        <w:r w:rsidRPr="001E4469">
          <w:rPr>
            <w:webHidden/>
          </w:rPr>
          <w:fldChar w:fldCharType="end"/>
        </w:r>
      </w:hyperlink>
    </w:p>
    <w:p w14:paraId="27EB8CD4" w14:textId="1CC04D38" w:rsidR="009B2331" w:rsidRPr="001E4469" w:rsidRDefault="009B2331">
      <w:pPr>
        <w:pStyle w:val="TableofFigures"/>
        <w:tabs>
          <w:tab w:val="right" w:leader="dot" w:pos="9350"/>
        </w:tabs>
      </w:pPr>
      <w:hyperlink w:anchor="_Toc225095903" w:history="1">
        <w:r w:rsidRPr="001E4469">
          <w:rPr>
            <w:rStyle w:val="Hyperlink"/>
          </w:rPr>
          <w:t>Figure 2 Policy A vs. Policy  (approval rate, default rate and good loans rejected)</w:t>
        </w:r>
        <w:r w:rsidRPr="001E4469">
          <w:rPr>
            <w:webHidden/>
          </w:rPr>
          <w:tab/>
        </w:r>
        <w:r w:rsidRPr="001E4469">
          <w:rPr>
            <w:webHidden/>
          </w:rPr>
          <w:fldChar w:fldCharType="begin"/>
        </w:r>
        <w:r w:rsidRPr="001E4469">
          <w:rPr>
            <w:webHidden/>
          </w:rPr>
          <w:instrText xml:space="preserve"> PAGEREF _Toc225095903 \h </w:instrText>
        </w:r>
        <w:r w:rsidRPr="001E4469">
          <w:rPr>
            <w:webHidden/>
          </w:rPr>
        </w:r>
        <w:r w:rsidRPr="001E4469">
          <w:rPr>
            <w:webHidden/>
          </w:rPr>
          <w:fldChar w:fldCharType="separate"/>
        </w:r>
        <w:r w:rsidRPr="001E4469">
          <w:rPr>
            <w:webHidden/>
          </w:rPr>
          <w:t>6</w:t>
        </w:r>
        <w:r w:rsidRPr="001E4469">
          <w:rPr>
            <w:webHidden/>
          </w:rPr>
          <w:fldChar w:fldCharType="end"/>
        </w:r>
      </w:hyperlink>
    </w:p>
    <w:p w14:paraId="12867251" w14:textId="1279B570" w:rsidR="009B2331" w:rsidRPr="001E4469" w:rsidRDefault="009B2331">
      <w:pPr>
        <w:pStyle w:val="TableofFigures"/>
        <w:tabs>
          <w:tab w:val="right" w:leader="dot" w:pos="9350"/>
        </w:tabs>
      </w:pPr>
      <w:hyperlink w:anchor="_Toc225095904" w:history="1">
        <w:r w:rsidRPr="001E4469">
          <w:rPr>
            <w:rStyle w:val="Hyperlink"/>
          </w:rPr>
          <w:t>Figure 3 Optimal Number of Clusters (elbow method &amp; silhouette analysis)</w:t>
        </w:r>
        <w:r w:rsidRPr="001E4469">
          <w:rPr>
            <w:webHidden/>
          </w:rPr>
          <w:tab/>
        </w:r>
        <w:r w:rsidRPr="001E4469">
          <w:rPr>
            <w:webHidden/>
          </w:rPr>
          <w:fldChar w:fldCharType="begin"/>
        </w:r>
        <w:r w:rsidRPr="001E4469">
          <w:rPr>
            <w:webHidden/>
          </w:rPr>
          <w:instrText xml:space="preserve"> PAGEREF _Toc225095904 \h </w:instrText>
        </w:r>
        <w:r w:rsidRPr="001E4469">
          <w:rPr>
            <w:webHidden/>
          </w:rPr>
        </w:r>
        <w:r w:rsidRPr="001E4469">
          <w:rPr>
            <w:webHidden/>
          </w:rPr>
          <w:fldChar w:fldCharType="separate"/>
        </w:r>
        <w:r w:rsidRPr="001E4469">
          <w:rPr>
            <w:webHidden/>
          </w:rPr>
          <w:t>7</w:t>
        </w:r>
        <w:r w:rsidRPr="001E4469">
          <w:rPr>
            <w:webHidden/>
          </w:rPr>
          <w:fldChar w:fldCharType="end"/>
        </w:r>
      </w:hyperlink>
    </w:p>
    <w:p w14:paraId="4ADC43F9" w14:textId="3DB196CD" w:rsidR="009B2331" w:rsidRPr="001E4469" w:rsidRDefault="009B2331">
      <w:pPr>
        <w:pStyle w:val="TableofFigures"/>
        <w:tabs>
          <w:tab w:val="right" w:leader="dot" w:pos="9350"/>
        </w:tabs>
      </w:pPr>
      <w:hyperlink w:anchor="_Toc225095905" w:history="1">
        <w:r w:rsidRPr="001E4469">
          <w:rPr>
            <w:rStyle w:val="Hyperlink"/>
          </w:rPr>
          <w:t>Figure 4 Borrower Segmentation — Feature Profiles (heatmap), Default Rates, Cluster Sizes, and Income vs DTI scatter.</w:t>
        </w:r>
        <w:r w:rsidRPr="001E4469">
          <w:rPr>
            <w:webHidden/>
          </w:rPr>
          <w:tab/>
        </w:r>
        <w:r w:rsidRPr="001E4469">
          <w:rPr>
            <w:webHidden/>
          </w:rPr>
          <w:fldChar w:fldCharType="begin"/>
        </w:r>
        <w:r w:rsidRPr="001E4469">
          <w:rPr>
            <w:webHidden/>
          </w:rPr>
          <w:instrText xml:space="preserve"> PAGEREF _Toc225095905 \h </w:instrText>
        </w:r>
        <w:r w:rsidRPr="001E4469">
          <w:rPr>
            <w:webHidden/>
          </w:rPr>
        </w:r>
        <w:r w:rsidRPr="001E4469">
          <w:rPr>
            <w:webHidden/>
          </w:rPr>
          <w:fldChar w:fldCharType="separate"/>
        </w:r>
        <w:r w:rsidRPr="001E4469">
          <w:rPr>
            <w:webHidden/>
          </w:rPr>
          <w:t>9</w:t>
        </w:r>
        <w:r w:rsidRPr="001E4469">
          <w:rPr>
            <w:webHidden/>
          </w:rPr>
          <w:fldChar w:fldCharType="end"/>
        </w:r>
      </w:hyperlink>
    </w:p>
    <w:p w14:paraId="7F288A49" w14:textId="646FE524" w:rsidR="009B2331" w:rsidRPr="001E4469" w:rsidRDefault="009B2331">
      <w:pPr>
        <w:pStyle w:val="TableofFigures"/>
        <w:tabs>
          <w:tab w:val="right" w:leader="dot" w:pos="9350"/>
        </w:tabs>
      </w:pPr>
      <w:hyperlink w:anchor="_Toc225095906" w:history="1">
        <w:r w:rsidRPr="001E4469">
          <w:rPr>
            <w:rStyle w:val="Hyperlink"/>
          </w:rPr>
          <w:t>Figure 5 Training and Validation Loss and AUC Curves</w:t>
        </w:r>
        <w:r w:rsidRPr="001E4469">
          <w:rPr>
            <w:webHidden/>
          </w:rPr>
          <w:tab/>
        </w:r>
        <w:r w:rsidRPr="001E4469">
          <w:rPr>
            <w:webHidden/>
          </w:rPr>
          <w:fldChar w:fldCharType="begin"/>
        </w:r>
        <w:r w:rsidRPr="001E4469">
          <w:rPr>
            <w:webHidden/>
          </w:rPr>
          <w:instrText xml:space="preserve"> PAGEREF _Toc225095906 \h </w:instrText>
        </w:r>
        <w:r w:rsidRPr="001E4469">
          <w:rPr>
            <w:webHidden/>
          </w:rPr>
        </w:r>
        <w:r w:rsidRPr="001E4469">
          <w:rPr>
            <w:webHidden/>
          </w:rPr>
          <w:fldChar w:fldCharType="separate"/>
        </w:r>
        <w:r w:rsidRPr="001E4469">
          <w:rPr>
            <w:webHidden/>
          </w:rPr>
          <w:t>11</w:t>
        </w:r>
        <w:r w:rsidRPr="001E4469">
          <w:rPr>
            <w:webHidden/>
          </w:rPr>
          <w:fldChar w:fldCharType="end"/>
        </w:r>
      </w:hyperlink>
    </w:p>
    <w:p w14:paraId="514E02C3" w14:textId="7E1200F0" w:rsidR="009B2331" w:rsidRPr="001E4469" w:rsidRDefault="009B2331">
      <w:pPr>
        <w:pStyle w:val="TableofFigures"/>
        <w:tabs>
          <w:tab w:val="right" w:leader="dot" w:pos="9350"/>
        </w:tabs>
      </w:pPr>
      <w:hyperlink w:anchor="_Toc225095907" w:history="1">
        <w:r w:rsidRPr="001E4469">
          <w:rPr>
            <w:rStyle w:val="Hyperlink"/>
          </w:rPr>
          <w:t>Figure 6 ROC Curve (AUC=0.688) and Precision-Recall Curve (AP=0.314) on the Held-Out Test Set</w:t>
        </w:r>
        <w:r w:rsidRPr="001E4469">
          <w:rPr>
            <w:webHidden/>
          </w:rPr>
          <w:tab/>
        </w:r>
        <w:r w:rsidRPr="001E4469">
          <w:rPr>
            <w:webHidden/>
          </w:rPr>
          <w:fldChar w:fldCharType="begin"/>
        </w:r>
        <w:r w:rsidRPr="001E4469">
          <w:rPr>
            <w:webHidden/>
          </w:rPr>
          <w:instrText xml:space="preserve"> PAGEREF _Toc225095907 \h </w:instrText>
        </w:r>
        <w:r w:rsidRPr="001E4469">
          <w:rPr>
            <w:webHidden/>
          </w:rPr>
        </w:r>
        <w:r w:rsidRPr="001E4469">
          <w:rPr>
            <w:webHidden/>
          </w:rPr>
          <w:fldChar w:fldCharType="separate"/>
        </w:r>
        <w:r w:rsidRPr="001E4469">
          <w:rPr>
            <w:webHidden/>
          </w:rPr>
          <w:t>13</w:t>
        </w:r>
        <w:r w:rsidRPr="001E4469">
          <w:rPr>
            <w:webHidden/>
          </w:rPr>
          <w:fldChar w:fldCharType="end"/>
        </w:r>
      </w:hyperlink>
    </w:p>
    <w:p w14:paraId="6CB152CB" w14:textId="242BB807" w:rsidR="009B2331" w:rsidRPr="001E4469" w:rsidRDefault="009B2331" w:rsidP="009B2331">
      <w:pPr>
        <w:rPr>
          <w:rFonts w:asciiTheme="majorHAnsi" w:eastAsiaTheme="majorEastAsia" w:hAnsiTheme="majorHAnsi" w:cstheme="majorBidi"/>
          <w:color w:val="0F4761" w:themeColor="accent1" w:themeShade="BF"/>
          <w:sz w:val="40"/>
          <w:szCs w:val="40"/>
        </w:rPr>
      </w:pPr>
      <w:r w:rsidRPr="001E4469">
        <w:rPr>
          <w:rFonts w:asciiTheme="majorHAnsi" w:eastAsiaTheme="majorEastAsia" w:hAnsiTheme="majorHAnsi" w:cstheme="majorBidi"/>
          <w:color w:val="0F4761" w:themeColor="accent1" w:themeShade="BF"/>
          <w:sz w:val="40"/>
          <w:szCs w:val="40"/>
        </w:rPr>
        <w:fldChar w:fldCharType="end"/>
      </w:r>
    </w:p>
    <w:p w14:paraId="06F534A8" w14:textId="5526A0C0" w:rsidR="00480205" w:rsidRPr="001E4469" w:rsidRDefault="00480205" w:rsidP="00480205">
      <w:pPr>
        <w:pStyle w:val="TOCHeading"/>
        <w:rPr>
          <w:lang w:val="en-GB"/>
        </w:rPr>
      </w:pPr>
      <w:r w:rsidRPr="001E4469">
        <w:rPr>
          <w:lang w:val="en-GB"/>
        </w:rPr>
        <w:t xml:space="preserve">List of </w:t>
      </w:r>
      <w:r w:rsidRPr="001E4469">
        <w:rPr>
          <w:lang w:val="en-GB"/>
        </w:rPr>
        <w:t>Tables</w:t>
      </w:r>
    </w:p>
    <w:p w14:paraId="743E448A" w14:textId="0A83490A" w:rsidR="009B2331" w:rsidRPr="001E4469" w:rsidRDefault="009B2331">
      <w:pPr>
        <w:pStyle w:val="TableofFigures"/>
        <w:tabs>
          <w:tab w:val="right" w:leader="dot" w:pos="9350"/>
        </w:tabs>
        <w:rPr>
          <w:rFonts w:eastAsiaTheme="minorEastAsia"/>
        </w:rPr>
      </w:pPr>
      <w:r w:rsidRPr="001E4469">
        <w:rPr>
          <w:rFonts w:asciiTheme="majorHAnsi" w:eastAsiaTheme="majorEastAsia" w:hAnsiTheme="majorHAnsi" w:cstheme="majorBidi"/>
          <w:color w:val="0F4761" w:themeColor="accent1" w:themeShade="BF"/>
          <w:sz w:val="40"/>
          <w:szCs w:val="40"/>
        </w:rPr>
        <w:fldChar w:fldCharType="begin"/>
      </w:r>
      <w:r w:rsidRPr="001E4469">
        <w:rPr>
          <w:rFonts w:asciiTheme="majorHAnsi" w:eastAsiaTheme="majorEastAsia" w:hAnsiTheme="majorHAnsi" w:cstheme="majorBidi"/>
          <w:color w:val="0F4761" w:themeColor="accent1" w:themeShade="BF"/>
          <w:sz w:val="40"/>
          <w:szCs w:val="40"/>
        </w:rPr>
        <w:instrText xml:space="preserve"> TOC \h \z \c "Table" </w:instrText>
      </w:r>
      <w:r w:rsidRPr="001E4469">
        <w:rPr>
          <w:rFonts w:asciiTheme="majorHAnsi" w:eastAsiaTheme="majorEastAsia" w:hAnsiTheme="majorHAnsi" w:cstheme="majorBidi"/>
          <w:color w:val="0F4761" w:themeColor="accent1" w:themeShade="BF"/>
          <w:sz w:val="40"/>
          <w:szCs w:val="40"/>
        </w:rPr>
        <w:fldChar w:fldCharType="separate"/>
      </w:r>
      <w:hyperlink w:anchor="_Toc225095967" w:history="1">
        <w:r w:rsidRPr="001E4469">
          <w:rPr>
            <w:rStyle w:val="Hyperlink"/>
          </w:rPr>
          <w:t>Table 1 Policy A vs. Policy B comparison</w:t>
        </w:r>
        <w:r w:rsidRPr="001E4469">
          <w:rPr>
            <w:webHidden/>
          </w:rPr>
          <w:tab/>
        </w:r>
        <w:r w:rsidRPr="001E4469">
          <w:rPr>
            <w:webHidden/>
          </w:rPr>
          <w:fldChar w:fldCharType="begin"/>
        </w:r>
        <w:r w:rsidRPr="001E4469">
          <w:rPr>
            <w:webHidden/>
          </w:rPr>
          <w:instrText xml:space="preserve"> PAGEREF _Toc225095967 \h </w:instrText>
        </w:r>
        <w:r w:rsidRPr="001E4469">
          <w:rPr>
            <w:webHidden/>
          </w:rPr>
        </w:r>
        <w:r w:rsidRPr="001E4469">
          <w:rPr>
            <w:webHidden/>
          </w:rPr>
          <w:fldChar w:fldCharType="separate"/>
        </w:r>
        <w:r w:rsidRPr="001E4469">
          <w:rPr>
            <w:webHidden/>
          </w:rPr>
          <w:t>5</w:t>
        </w:r>
        <w:r w:rsidRPr="001E4469">
          <w:rPr>
            <w:webHidden/>
          </w:rPr>
          <w:fldChar w:fldCharType="end"/>
        </w:r>
      </w:hyperlink>
    </w:p>
    <w:p w14:paraId="13D84A23" w14:textId="3131EB6C" w:rsidR="009B2331" w:rsidRPr="001E4469" w:rsidRDefault="009B2331">
      <w:pPr>
        <w:pStyle w:val="TableofFigures"/>
        <w:tabs>
          <w:tab w:val="right" w:leader="dot" w:pos="9350"/>
        </w:tabs>
        <w:rPr>
          <w:rFonts w:eastAsiaTheme="minorEastAsia"/>
        </w:rPr>
      </w:pPr>
      <w:hyperlink w:anchor="_Toc225095968" w:history="1">
        <w:r w:rsidRPr="001E4469">
          <w:rPr>
            <w:rStyle w:val="Hyperlink"/>
          </w:rPr>
          <w:t>Table 2 Borrower cluster profiles</w:t>
        </w:r>
        <w:r w:rsidRPr="001E4469">
          <w:rPr>
            <w:webHidden/>
          </w:rPr>
          <w:tab/>
        </w:r>
        <w:r w:rsidRPr="001E4469">
          <w:rPr>
            <w:webHidden/>
          </w:rPr>
          <w:fldChar w:fldCharType="begin"/>
        </w:r>
        <w:r w:rsidRPr="001E4469">
          <w:rPr>
            <w:webHidden/>
          </w:rPr>
          <w:instrText xml:space="preserve"> PAGEREF _Toc225095968 \h </w:instrText>
        </w:r>
        <w:r w:rsidRPr="001E4469">
          <w:rPr>
            <w:webHidden/>
          </w:rPr>
        </w:r>
        <w:r w:rsidRPr="001E4469">
          <w:rPr>
            <w:webHidden/>
          </w:rPr>
          <w:fldChar w:fldCharType="separate"/>
        </w:r>
        <w:r w:rsidRPr="001E4469">
          <w:rPr>
            <w:webHidden/>
          </w:rPr>
          <w:t>8</w:t>
        </w:r>
        <w:r w:rsidRPr="001E4469">
          <w:rPr>
            <w:webHidden/>
          </w:rPr>
          <w:fldChar w:fldCharType="end"/>
        </w:r>
      </w:hyperlink>
    </w:p>
    <w:p w14:paraId="6BA0D8AF" w14:textId="0FDF7DE7" w:rsidR="009B2331" w:rsidRPr="001E4469" w:rsidRDefault="009B2331">
      <w:pPr>
        <w:pStyle w:val="TableofFigures"/>
        <w:tabs>
          <w:tab w:val="right" w:leader="dot" w:pos="9350"/>
        </w:tabs>
        <w:rPr>
          <w:rFonts w:eastAsiaTheme="minorEastAsia"/>
        </w:rPr>
      </w:pPr>
      <w:hyperlink w:anchor="_Toc225095969" w:history="1">
        <w:r w:rsidRPr="001E4469">
          <w:rPr>
            <w:rStyle w:val="Hyperlink"/>
          </w:rPr>
          <w:t>Table 3 Policy performance within each borrower cluster</w:t>
        </w:r>
        <w:r w:rsidRPr="001E4469">
          <w:rPr>
            <w:webHidden/>
          </w:rPr>
          <w:tab/>
        </w:r>
        <w:r w:rsidRPr="001E4469">
          <w:rPr>
            <w:webHidden/>
          </w:rPr>
          <w:fldChar w:fldCharType="begin"/>
        </w:r>
        <w:r w:rsidRPr="001E4469">
          <w:rPr>
            <w:webHidden/>
          </w:rPr>
          <w:instrText xml:space="preserve"> PAGEREF _Toc225095969 \h </w:instrText>
        </w:r>
        <w:r w:rsidRPr="001E4469">
          <w:rPr>
            <w:webHidden/>
          </w:rPr>
        </w:r>
        <w:r w:rsidRPr="001E4469">
          <w:rPr>
            <w:webHidden/>
          </w:rPr>
          <w:fldChar w:fldCharType="separate"/>
        </w:r>
        <w:r w:rsidRPr="001E4469">
          <w:rPr>
            <w:webHidden/>
          </w:rPr>
          <w:t>9</w:t>
        </w:r>
        <w:r w:rsidRPr="001E4469">
          <w:rPr>
            <w:webHidden/>
          </w:rPr>
          <w:fldChar w:fldCharType="end"/>
        </w:r>
      </w:hyperlink>
    </w:p>
    <w:p w14:paraId="14A5A5B7" w14:textId="39EF280C" w:rsidR="009B2331" w:rsidRDefault="009B2331">
      <w:pPr>
        <w:pStyle w:val="TableofFigures"/>
        <w:tabs>
          <w:tab w:val="right" w:leader="dot" w:pos="9350"/>
        </w:tabs>
        <w:rPr>
          <w:rStyle w:val="Hyperlink"/>
        </w:rPr>
      </w:pPr>
      <w:hyperlink w:anchor="_Toc225095970" w:history="1">
        <w:r w:rsidRPr="001E4469">
          <w:rPr>
            <w:rStyle w:val="Hyperlink"/>
          </w:rPr>
          <w:t>Table 4 Model performance on the held-out test set</w:t>
        </w:r>
        <w:r w:rsidRPr="001E4469">
          <w:rPr>
            <w:webHidden/>
          </w:rPr>
          <w:tab/>
        </w:r>
        <w:r w:rsidRPr="001E4469">
          <w:rPr>
            <w:webHidden/>
          </w:rPr>
          <w:fldChar w:fldCharType="begin"/>
        </w:r>
        <w:r w:rsidRPr="001E4469">
          <w:rPr>
            <w:webHidden/>
          </w:rPr>
          <w:instrText xml:space="preserve"> PAGEREF _Toc225095970 \h </w:instrText>
        </w:r>
        <w:r w:rsidRPr="001E4469">
          <w:rPr>
            <w:webHidden/>
          </w:rPr>
        </w:r>
        <w:r w:rsidRPr="001E4469">
          <w:rPr>
            <w:webHidden/>
          </w:rPr>
          <w:fldChar w:fldCharType="separate"/>
        </w:r>
        <w:r w:rsidRPr="001E4469">
          <w:rPr>
            <w:webHidden/>
          </w:rPr>
          <w:t>12</w:t>
        </w:r>
        <w:r w:rsidRPr="001E4469">
          <w:rPr>
            <w:webHidden/>
          </w:rPr>
          <w:fldChar w:fldCharType="end"/>
        </w:r>
      </w:hyperlink>
    </w:p>
    <w:p w14:paraId="02F771CC" w14:textId="77777777" w:rsidR="00381C43" w:rsidRPr="00381C43" w:rsidRDefault="00381C43" w:rsidP="00381C43">
      <w:pPr>
        <w:rPr>
          <w:sz w:val="40"/>
          <w:szCs w:val="40"/>
        </w:rPr>
      </w:pPr>
    </w:p>
    <w:p w14:paraId="5A51C063" w14:textId="4E683E48" w:rsidR="009B2331" w:rsidRPr="00381C43" w:rsidRDefault="009B2331" w:rsidP="00381C43">
      <w:pPr>
        <w:pStyle w:val="TOCHeading"/>
        <w:rPr>
          <w:lang w:val="en-GB"/>
        </w:rPr>
      </w:pPr>
      <w:r w:rsidRPr="001E4469">
        <w:rPr>
          <w:sz w:val="40"/>
          <w:szCs w:val="40"/>
          <w:lang w:val="en-GB"/>
        </w:rPr>
        <w:fldChar w:fldCharType="end"/>
      </w:r>
      <w:r w:rsidR="00381C43" w:rsidRPr="001E4469">
        <w:rPr>
          <w:lang w:val="en-GB"/>
        </w:rPr>
        <w:t>List of</w:t>
      </w:r>
      <w:r w:rsidR="00381C43">
        <w:rPr>
          <w:lang w:val="en-GB"/>
        </w:rPr>
        <w:t xml:space="preserve"> Equations</w:t>
      </w:r>
    </w:p>
    <w:p w14:paraId="68ED55F7" w14:textId="52598B01" w:rsidR="00381C43" w:rsidRDefault="00381C43">
      <w:pPr>
        <w:pStyle w:val="TableofFigures"/>
        <w:tabs>
          <w:tab w:val="right" w:leader="dot" w:pos="9350"/>
        </w:tabs>
        <w:rPr>
          <w:rFonts w:eastAsiaTheme="minorEastAsia"/>
          <w:noProof/>
          <w:lang w:val="en-US"/>
        </w:rPr>
      </w:pPr>
      <w:r>
        <w:fldChar w:fldCharType="begin"/>
      </w:r>
      <w:r>
        <w:instrText xml:space="preserve"> TOC \h \z \c "Equation" </w:instrText>
      </w:r>
      <w:r>
        <w:fldChar w:fldCharType="separate"/>
      </w:r>
      <w:hyperlink w:anchor="_Toc225099262" w:history="1">
        <w:r w:rsidRPr="006166D5">
          <w:rPr>
            <w:rStyle w:val="Hyperlink"/>
            <w:noProof/>
          </w:rPr>
          <w:t>Equation 1</w:t>
        </w:r>
        <w:r w:rsidRPr="006166D5">
          <w:rPr>
            <w:rStyle w:val="Hyperlink"/>
            <w:noProof/>
            <w:lang w:val="en-US"/>
          </w:rPr>
          <w:t xml:space="preserve"> Portfolio Default Rate</w:t>
        </w:r>
        <w:r>
          <w:rPr>
            <w:noProof/>
            <w:webHidden/>
          </w:rPr>
          <w:tab/>
        </w:r>
        <w:r>
          <w:rPr>
            <w:noProof/>
            <w:webHidden/>
          </w:rPr>
          <w:fldChar w:fldCharType="begin"/>
        </w:r>
        <w:r>
          <w:rPr>
            <w:noProof/>
            <w:webHidden/>
          </w:rPr>
          <w:instrText xml:space="preserve"> PAGEREF _Toc225099262 \h </w:instrText>
        </w:r>
        <w:r>
          <w:rPr>
            <w:noProof/>
            <w:webHidden/>
          </w:rPr>
        </w:r>
        <w:r>
          <w:rPr>
            <w:noProof/>
            <w:webHidden/>
          </w:rPr>
          <w:fldChar w:fldCharType="separate"/>
        </w:r>
        <w:r>
          <w:rPr>
            <w:noProof/>
            <w:webHidden/>
          </w:rPr>
          <w:t>4</w:t>
        </w:r>
        <w:r>
          <w:rPr>
            <w:noProof/>
            <w:webHidden/>
          </w:rPr>
          <w:fldChar w:fldCharType="end"/>
        </w:r>
      </w:hyperlink>
    </w:p>
    <w:p w14:paraId="530DD129" w14:textId="54E8E901" w:rsidR="00381C43" w:rsidRPr="001E4469" w:rsidRDefault="00381C43" w:rsidP="00381C43">
      <w:pPr>
        <w:pStyle w:val="TOCHeading"/>
        <w:rPr>
          <w:lang w:val="en-GB"/>
        </w:rPr>
      </w:pPr>
      <w:r>
        <w:rPr>
          <w:lang w:val="en-GB"/>
        </w:rPr>
        <w:fldChar w:fldCharType="end"/>
      </w:r>
    </w:p>
    <w:p w14:paraId="3A75C4DB" w14:textId="77777777" w:rsidR="00381C43" w:rsidRDefault="00381C43" w:rsidP="00391A1A">
      <w:pPr>
        <w:rPr>
          <w:rFonts w:asciiTheme="majorHAnsi" w:eastAsiaTheme="majorEastAsia" w:hAnsiTheme="majorHAnsi" w:cstheme="majorBidi"/>
          <w:color w:val="0F4761" w:themeColor="accent1" w:themeShade="BF"/>
          <w:sz w:val="40"/>
          <w:szCs w:val="40"/>
        </w:rPr>
      </w:pPr>
    </w:p>
    <w:p w14:paraId="6DA67A58" w14:textId="77777777" w:rsidR="00381C43" w:rsidRPr="001E4469" w:rsidRDefault="00381C43" w:rsidP="00391A1A">
      <w:pPr>
        <w:rPr>
          <w:rFonts w:asciiTheme="majorHAnsi" w:eastAsiaTheme="majorEastAsia" w:hAnsiTheme="majorHAnsi" w:cstheme="majorBidi"/>
          <w:color w:val="0F4761" w:themeColor="accent1" w:themeShade="BF"/>
          <w:sz w:val="40"/>
          <w:szCs w:val="40"/>
        </w:rPr>
      </w:pPr>
    </w:p>
    <w:p w14:paraId="1599C1C2" w14:textId="77777777" w:rsidR="009B2331" w:rsidRPr="001E4469" w:rsidRDefault="009B2331" w:rsidP="00391A1A">
      <w:pPr>
        <w:rPr>
          <w:rFonts w:asciiTheme="majorHAnsi" w:eastAsiaTheme="majorEastAsia" w:hAnsiTheme="majorHAnsi" w:cstheme="majorBidi"/>
          <w:color w:val="0F4761" w:themeColor="accent1" w:themeShade="BF"/>
          <w:sz w:val="40"/>
          <w:szCs w:val="40"/>
        </w:rPr>
      </w:pPr>
    </w:p>
    <w:p w14:paraId="7030588B" w14:textId="77777777" w:rsidR="009B2331" w:rsidRPr="001E4469" w:rsidRDefault="009B2331" w:rsidP="00391A1A">
      <w:pPr>
        <w:rPr>
          <w:rFonts w:asciiTheme="majorHAnsi" w:eastAsiaTheme="majorEastAsia" w:hAnsiTheme="majorHAnsi" w:cstheme="majorBidi"/>
          <w:color w:val="0F4761" w:themeColor="accent1" w:themeShade="BF"/>
          <w:sz w:val="40"/>
          <w:szCs w:val="40"/>
        </w:rPr>
      </w:pPr>
    </w:p>
    <w:p w14:paraId="6A5B2642" w14:textId="77777777" w:rsidR="009B2331" w:rsidRPr="001E4469" w:rsidRDefault="009B2331" w:rsidP="00391A1A">
      <w:pPr>
        <w:rPr>
          <w:rFonts w:asciiTheme="majorHAnsi" w:eastAsiaTheme="majorEastAsia" w:hAnsiTheme="majorHAnsi" w:cstheme="majorBidi"/>
          <w:color w:val="0F4761" w:themeColor="accent1" w:themeShade="BF"/>
          <w:sz w:val="40"/>
          <w:szCs w:val="40"/>
        </w:rPr>
      </w:pPr>
    </w:p>
    <w:p w14:paraId="7C999A60" w14:textId="77777777" w:rsidR="009B2331" w:rsidRPr="001E4469" w:rsidRDefault="009B2331" w:rsidP="00391A1A">
      <w:pPr>
        <w:rPr>
          <w:rFonts w:asciiTheme="majorHAnsi" w:eastAsiaTheme="majorEastAsia" w:hAnsiTheme="majorHAnsi" w:cstheme="majorBidi"/>
          <w:color w:val="0F4761" w:themeColor="accent1" w:themeShade="BF"/>
          <w:sz w:val="40"/>
          <w:szCs w:val="40"/>
        </w:rPr>
      </w:pPr>
    </w:p>
    <w:p w14:paraId="21D40F6C" w14:textId="77777777" w:rsidR="009B2331" w:rsidRPr="001E4469" w:rsidRDefault="009B2331" w:rsidP="00391A1A">
      <w:pPr>
        <w:rPr>
          <w:rFonts w:asciiTheme="majorHAnsi" w:eastAsiaTheme="majorEastAsia" w:hAnsiTheme="majorHAnsi" w:cstheme="majorBidi"/>
          <w:color w:val="0F4761" w:themeColor="accent1" w:themeShade="BF"/>
          <w:sz w:val="40"/>
          <w:szCs w:val="40"/>
        </w:rPr>
      </w:pPr>
    </w:p>
    <w:p w14:paraId="0772598D" w14:textId="50D1F4F4" w:rsidR="00520108" w:rsidRPr="001E4469" w:rsidRDefault="0034664F" w:rsidP="00520108">
      <w:pPr>
        <w:pStyle w:val="Heading1"/>
      </w:pPr>
      <w:bookmarkStart w:id="0" w:name="_Toc225096048"/>
      <w:r w:rsidRPr="001E4469">
        <w:lastRenderedPageBreak/>
        <w:t>1. Introduction</w:t>
      </w:r>
      <w:r w:rsidR="00A3106F" w:rsidRPr="001E4469">
        <w:t xml:space="preserve"> (129)</w:t>
      </w:r>
      <w:bookmarkEnd w:id="0"/>
    </w:p>
    <w:p w14:paraId="5157E57C" w14:textId="77777777" w:rsidR="0085112C" w:rsidRDefault="0085112C" w:rsidP="0085112C">
      <w:bookmarkStart w:id="1" w:name="_Toc225096049"/>
      <w:r>
        <w:t xml:space="preserve">This report analyses a </w:t>
      </w:r>
      <w:proofErr w:type="spellStart"/>
      <w:r>
        <w:t>LendingClub</w:t>
      </w:r>
      <w:proofErr w:type="spellEnd"/>
      <w:r>
        <w:t xml:space="preserve"> consumer loan dataset to support evidence-based loan approval decisions for a lending company evaluating changes to its review strategy. The analysis proceeds in three consecutive stages. First, a simulated A/B testing framework compares two sub-grade-based approval policies, quantifying the risk-return trade-off between a conservative and a selectively expanded lending stance. Second, K-means cluster analysis identifies distinct borrower segments, revealing differences in default behaviour that aggregate metrics conceal. Third, a prototype deep learning model is trained to predict individual loan default probabilities, in order to form a probability-based loan approval policy and compare it with the sub-grade-based cutoffs set in the first stage. Together, these methods form a layered analytical approach, each layer building on the next, to support recommendations for improving the company’s overall process.</w:t>
      </w:r>
    </w:p>
    <w:p w14:paraId="036F4D7E" w14:textId="4F479006" w:rsidR="0034664F" w:rsidRPr="001E4469" w:rsidRDefault="0034664F" w:rsidP="0034664F">
      <w:pPr>
        <w:pStyle w:val="Heading1"/>
      </w:pPr>
      <w:r w:rsidRPr="001E4469">
        <w:t>2. Data Preparation and Cleaning</w:t>
      </w:r>
      <w:r w:rsidR="00FF597B" w:rsidRPr="001E4469">
        <w:t xml:space="preserve"> (</w:t>
      </w:r>
      <w:r w:rsidR="00A3106F" w:rsidRPr="001E4469">
        <w:t>126</w:t>
      </w:r>
      <w:r w:rsidR="00FF597B" w:rsidRPr="001E4469">
        <w:t>)</w:t>
      </w:r>
      <w:bookmarkEnd w:id="1"/>
    </w:p>
    <w:p w14:paraId="53BDBBC2" w14:textId="455584BF" w:rsidR="007B4328" w:rsidRPr="001E4469" w:rsidRDefault="00774D8B" w:rsidP="00774D8B">
      <w:r w:rsidRPr="001E4469">
        <w:t>The raw dataset contained 50,000 loan observations. A key challenge was 6,621 loans labelled ‘Current’,</w:t>
      </w:r>
      <w:r w:rsidR="003C574C" w:rsidRPr="001E4469">
        <w:t xml:space="preserve"> representing loans still being repaid with unknown final outcomes. Retaining these as non-defaults would introduce systematic bias into the target </w:t>
      </w:r>
      <w:r w:rsidR="00E5535E" w:rsidRPr="001E4469">
        <w:t>variable</w:t>
      </w:r>
      <w:r w:rsidR="001F27FC">
        <w:t>.</w:t>
      </w:r>
      <w:r w:rsidR="004305D5" w:rsidRPr="001E4469">
        <w:t xml:space="preserve"> </w:t>
      </w:r>
      <w:r w:rsidR="001F27FC">
        <w:t>A</w:t>
      </w:r>
      <w:r w:rsidR="00AE4AB9" w:rsidRPr="001E4469">
        <w:t>s such, they were removed</w:t>
      </w:r>
      <w:r w:rsidR="001F27FC">
        <w:t xml:space="preserve"> consistent</w:t>
      </w:r>
      <w:r w:rsidR="00067DA3">
        <w:t xml:space="preserve"> with </w:t>
      </w:r>
      <w:proofErr w:type="spellStart"/>
      <w:r w:rsidR="00067DA3">
        <w:t>Turiel</w:t>
      </w:r>
      <w:proofErr w:type="spellEnd"/>
      <w:r w:rsidR="00067DA3">
        <w:t xml:space="preserve"> and Aste (2020)</w:t>
      </w:r>
      <w:r w:rsidR="00AE4AB9" w:rsidRPr="001E4469">
        <w:t>, leaving 43,379 loans with resolved outcomes</w:t>
      </w:r>
      <w:r w:rsidR="0020446B" w:rsidRPr="001E4469">
        <w:t>;</w:t>
      </w:r>
      <w:r w:rsidR="007B4328" w:rsidRPr="001E4469">
        <w:t xml:space="preserve"> Fully Paid, Charged Off, Default or late-stage delinquency.</w:t>
      </w:r>
    </w:p>
    <w:p w14:paraId="2CFD8413" w14:textId="77777777" w:rsidR="00092C7D" w:rsidRDefault="00092C7D" w:rsidP="00092C7D">
      <w:bookmarkStart w:id="2" w:name="_Toc225096050"/>
      <w:r>
        <w:t xml:space="preserve">To simulate a realistic origination-time environment, all post-decision variables (payment totals, recovery amounts, and disbursement figures) were excluded to prevent data leakage. Identifier fields, near-constant variables, and high cardinality free text columns were also removed. Variables with no discriminatory power were dropped, including </w:t>
      </w:r>
      <w:proofErr w:type="spellStart"/>
      <w:r>
        <w:t>pymnt_plan</w:t>
      </w:r>
      <w:proofErr w:type="spellEnd"/>
      <w:r>
        <w:t xml:space="preserve"> (only 3 positive cases) and </w:t>
      </w:r>
      <w:proofErr w:type="spellStart"/>
      <w:r>
        <w:t>initial_list_status</w:t>
      </w:r>
      <w:proofErr w:type="spellEnd"/>
      <w:r>
        <w:t xml:space="preserve"> (identical default rates across categories). Revolving account data was cleaned using a systematic 12-scenario consistency check across revolving balance, total credit, and utilisation; 30 illogical combinations were dropped and remaining values recalculated where possible. Revolving balance and total credit revolving were then dropped, as their predictive value is captured in revolving utilisation. </w:t>
      </w:r>
      <w:proofErr w:type="spellStart"/>
      <w:r>
        <w:t>Installment</w:t>
      </w:r>
      <w:proofErr w:type="spellEnd"/>
      <w:r>
        <w:t xml:space="preserve"> was verified against the loan amortisation formula and 37 rows with greater than 5% deviation were removed; the column was then dropped as it is mathematically determined by loan amount, interest rate and term. Total accounts was dropped due to its correlation (0.66) with open accounts. Missing values were handled via median imputation with binary missingness flags, except for total collection amount (13,690 missing) which was imputed with zero as missingness likely indicates no collections. Continuous monetary variables were capped at the 99th percentile and </w:t>
      </w:r>
      <w:r>
        <w:lastRenderedPageBreak/>
        <w:t>discrete count variables at risk-informed thresholds. The final cleaned dataset comprised 43,312 observations with a default rate of 18.02% and 30 variables.</w:t>
      </w:r>
    </w:p>
    <w:p w14:paraId="3780E99F" w14:textId="54B4426D" w:rsidR="0034664F" w:rsidRPr="001E4469" w:rsidRDefault="0034664F" w:rsidP="0034664F">
      <w:pPr>
        <w:pStyle w:val="Heading1"/>
      </w:pPr>
      <w:r w:rsidRPr="001E4469">
        <w:t>3. A/B Testing of Loan Review Policies</w:t>
      </w:r>
      <w:r w:rsidR="00FF597B" w:rsidRPr="001E4469">
        <w:t xml:space="preserve"> (</w:t>
      </w:r>
      <w:r w:rsidR="005F08F0">
        <w:t>643</w:t>
      </w:r>
      <w:r w:rsidR="00FF597B" w:rsidRPr="001E4469">
        <w:t>)</w:t>
      </w:r>
      <w:bookmarkEnd w:id="2"/>
    </w:p>
    <w:p w14:paraId="678F4842" w14:textId="5AA93334" w:rsidR="0034664F" w:rsidRPr="001E4469" w:rsidRDefault="0034664F" w:rsidP="0034664F">
      <w:pPr>
        <w:pStyle w:val="Heading2"/>
      </w:pPr>
      <w:bookmarkStart w:id="3" w:name="_Toc225096051"/>
      <w:r w:rsidRPr="001E4469">
        <w:t xml:space="preserve">3.1 Policy Definition </w:t>
      </w:r>
      <w:r w:rsidR="003E3B0D" w:rsidRPr="001E4469">
        <w:t>(</w:t>
      </w:r>
      <w:r w:rsidR="00FF597B" w:rsidRPr="001E4469">
        <w:t>65</w:t>
      </w:r>
      <w:r w:rsidR="003E3B0D" w:rsidRPr="001E4469">
        <w:t>)</w:t>
      </w:r>
      <w:bookmarkEnd w:id="3"/>
    </w:p>
    <w:p w14:paraId="4FF82ADE" w14:textId="60EEF258" w:rsidR="00157AD3" w:rsidRPr="001E4469" w:rsidRDefault="00587596" w:rsidP="00AD1F3E">
      <w:r w:rsidRPr="001E4469">
        <w:t>Policy</w:t>
      </w:r>
      <w:r w:rsidR="00007EBF" w:rsidRPr="001E4469">
        <w:t xml:space="preserve"> A (Conservative) approves loans graded A-C, accepting 34,231 of 43,379 loans </w:t>
      </w:r>
      <w:r w:rsidR="00145EB8" w:rsidRPr="001E4469">
        <w:t>(7</w:t>
      </w:r>
      <w:r w:rsidR="00E54D9D" w:rsidRPr="001E4469">
        <w:t>9.8</w:t>
      </w:r>
      <w:r w:rsidR="00145EB8" w:rsidRPr="001E4469">
        <w:t xml:space="preserve">%). </w:t>
      </w:r>
      <w:r w:rsidR="00AC1E9A" w:rsidRPr="001E4469">
        <w:t>Policy</w:t>
      </w:r>
      <w:r w:rsidR="00376A22" w:rsidRPr="001E4469">
        <w:t xml:space="preserve"> B (Expanded) extends</w:t>
      </w:r>
      <w:r w:rsidR="00D16C7E" w:rsidRPr="001E4469">
        <w:t xml:space="preserve"> approval to grade D</w:t>
      </w:r>
      <w:r w:rsidR="003D7703" w:rsidRPr="001E4469">
        <w:t xml:space="preserve">, </w:t>
      </w:r>
      <w:r w:rsidR="00EE174E" w:rsidRPr="001E4469">
        <w:t>accepting 40,227 loans (92.7%).</w:t>
      </w:r>
      <w:r w:rsidR="00A157E1" w:rsidRPr="001E4469">
        <w:t xml:space="preserve"> Policy B </w:t>
      </w:r>
      <w:r w:rsidR="00F13988" w:rsidRPr="001E4469">
        <w:t>is structurally Policy A with 5,996 marginal Grade D loans added, creating an incremental comparison.</w:t>
      </w:r>
      <w:r w:rsidR="00AD1F3E" w:rsidRPr="001E4469">
        <w:t xml:space="preserve"> The Grade D boundary was chosen because it is the last tier before subprime classification and represents the most commercially contested risk profile.</w:t>
      </w:r>
    </w:p>
    <w:p w14:paraId="15646932" w14:textId="3324C2D4" w:rsidR="00C00029" w:rsidRPr="001E4469" w:rsidRDefault="007A12E5" w:rsidP="007A12E5">
      <w:pPr>
        <w:pStyle w:val="Heading2"/>
      </w:pPr>
      <w:bookmarkStart w:id="4" w:name="_Toc225096052"/>
      <w:r w:rsidRPr="001E4469">
        <w:t>3.2 Evaluation Metric and Hypotheses</w:t>
      </w:r>
      <w:r w:rsidR="003E3B0D" w:rsidRPr="001E4469">
        <w:t xml:space="preserve"> (266)</w:t>
      </w:r>
      <w:bookmarkEnd w:id="4"/>
    </w:p>
    <w:p w14:paraId="5FBAA2C4" w14:textId="747B8BFB" w:rsidR="00495E80" w:rsidRDefault="00495E80" w:rsidP="00495E80">
      <w:pPr>
        <w:rPr>
          <w:rFonts w:eastAsiaTheme="minorEastAsia"/>
        </w:rPr>
      </w:pPr>
      <w:r w:rsidRPr="001E4469">
        <w:rPr>
          <w:rFonts w:eastAsiaTheme="minorEastAsia"/>
        </w:rPr>
        <w:t xml:space="preserve">Portfolio Default Rate (PDR) was selected as the primary evaluation metric. This is defined as the proportion of approved loans that subsequently default, </w:t>
      </w:r>
      <w:r w:rsidR="00C37C79">
        <w:rPr>
          <w:rFonts w:eastAsiaTheme="minorEastAsia"/>
        </w:rPr>
        <w:t>as shown in Equation 1</w:t>
      </w:r>
      <w:r w:rsidRPr="001E4469">
        <w:rPr>
          <w:rFonts w:eastAsiaTheme="minorEastAsia"/>
        </w:rPr>
        <w:t>. This metric directly reflects the loss rate of the booked portfolio, aligning closely with the lending company’s primary operational objective. In addition, a secondary proxy for interest income was computed to provide directional insight into profitability.</w:t>
      </w:r>
    </w:p>
    <w:p w14:paraId="0CE3DA17" w14:textId="77777777" w:rsidR="00D76685" w:rsidRDefault="001E7CAF" w:rsidP="00D76685">
      <w:pPr>
        <w:rPr>
          <w:iCs/>
        </w:rPr>
      </w:pPr>
      <m:oMathPara>
        <m:oMath>
          <m:r>
            <w:rPr>
              <w:rFonts w:ascii="Cambria Math" w:hAnsi="Cambria Math"/>
            </w:rPr>
            <m:t>PDR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Defau</m:t>
              </m:r>
              <m:r>
                <w:rPr>
                  <w:rFonts w:ascii="Cambria Math" w:hAnsi="Cambria Math"/>
                </w:rPr>
                <m:t>lts</m:t>
              </m:r>
              <m:r>
                <m:rPr>
                  <m:sty m:val="p"/>
                </m:rPr>
                <w:rPr>
                  <w:rFonts w:ascii="Cambria Math" w:hAnsi="Cambria Math"/>
                </w:rPr>
                <m:t xml:space="preserve"> </m:t>
              </m:r>
              <m:r>
                <w:rPr>
                  <w:rFonts w:ascii="Cambria Math" w:hAnsi="Cambria Math"/>
                </w:rPr>
                <m:t>Under</m:t>
              </m:r>
              <m:r>
                <m:rPr>
                  <m:sty m:val="p"/>
                </m:rPr>
                <w:rPr>
                  <w:rFonts w:ascii="Cambria Math" w:hAnsi="Cambria Math"/>
                </w:rPr>
                <m:t xml:space="preserve"> </m:t>
              </m:r>
              <m:r>
                <w:rPr>
                  <w:rFonts w:ascii="Cambria Math" w:hAnsi="Cambria Math"/>
                </w:rPr>
                <m:t>Specified</m:t>
              </m:r>
              <m:r>
                <m:rPr>
                  <m:sty m:val="p"/>
                </m:rPr>
                <w:rPr>
                  <w:rFonts w:ascii="Cambria Math" w:hAnsi="Cambria Math"/>
                </w:rPr>
                <m:t xml:space="preserve"> </m:t>
              </m:r>
              <m:r>
                <w:rPr>
                  <w:rFonts w:ascii="Cambria Math" w:hAnsi="Cambria Math"/>
                </w:rPr>
                <m:t>Policy</m:t>
              </m:r>
            </m:num>
            <m:den>
              <m:r>
                <w:rPr>
                  <w:rFonts w:ascii="Cambria Math" w:hAnsi="Cambria Math"/>
                </w:rPr>
                <m:t>Total</m:t>
              </m:r>
              <m:r>
                <m:rPr>
                  <m:sty m:val="p"/>
                </m:rPr>
                <w:rPr>
                  <w:rFonts w:ascii="Cambria Math" w:hAnsi="Cambria Math"/>
                </w:rPr>
                <m:t xml:space="preserve"> #  </m:t>
              </m:r>
              <m:r>
                <w:rPr>
                  <w:rFonts w:ascii="Cambria Math" w:hAnsi="Cambria Math"/>
                </w:rPr>
                <m:t>of</m:t>
              </m:r>
              <m:r>
                <m:rPr>
                  <m:sty m:val="p"/>
                </m:rPr>
                <w:rPr>
                  <w:rFonts w:ascii="Cambria Math" w:hAnsi="Cambria Math"/>
                </w:rPr>
                <m:t xml:space="preserve"> </m:t>
              </m:r>
              <m:r>
                <w:rPr>
                  <w:rFonts w:ascii="Cambria Math" w:hAnsi="Cambria Math"/>
                </w:rPr>
                <m:t>Loans</m:t>
              </m:r>
            </m:den>
          </m:f>
        </m:oMath>
      </m:oMathPara>
    </w:p>
    <w:p w14:paraId="4FF23EF3" w14:textId="6FE70626" w:rsidR="001E7CAF" w:rsidRPr="001E4469" w:rsidRDefault="00D76685" w:rsidP="00D76685">
      <w:pPr>
        <w:pStyle w:val="Caption"/>
        <w:jc w:val="center"/>
        <w:rPr>
          <w:rFonts w:eastAsiaTheme="minorEastAsia"/>
        </w:rPr>
      </w:pPr>
      <w:bookmarkStart w:id="5" w:name="_Toc225099262"/>
      <w:r>
        <w:t xml:space="preserve">Equation </w:t>
      </w:r>
      <w:r>
        <w:fldChar w:fldCharType="begin"/>
      </w:r>
      <w:r>
        <w:instrText xml:space="preserve"> SEQ Equation \* ARABIC </w:instrText>
      </w:r>
      <w:r>
        <w:fldChar w:fldCharType="separate"/>
      </w:r>
      <w:r>
        <w:rPr>
          <w:noProof/>
        </w:rPr>
        <w:t>1</w:t>
      </w:r>
      <w:r>
        <w:fldChar w:fldCharType="end"/>
      </w:r>
      <w:r>
        <w:rPr>
          <w:lang w:val="en-US"/>
        </w:rPr>
        <w:t xml:space="preserve"> Portfolio Default Rate</w:t>
      </w:r>
      <w:bookmarkEnd w:id="5"/>
    </w:p>
    <w:p w14:paraId="140EC458" w14:textId="01E4B1F4" w:rsidR="00495E80" w:rsidRPr="001E4469" w:rsidRDefault="005C580E" w:rsidP="00495E80">
      <w:pPr>
        <w:rPr>
          <w:rFonts w:eastAsiaTheme="minorEastAsia"/>
        </w:rPr>
      </w:pPr>
      <w:r>
        <w:rPr>
          <w:rFonts w:eastAsiaTheme="minorEastAsia"/>
        </w:rPr>
        <w:t>Default</w:t>
      </w:r>
      <w:r w:rsidR="00495E80" w:rsidRPr="001E4469">
        <w:rPr>
          <w:rFonts w:eastAsiaTheme="minorEastAsia"/>
        </w:rPr>
        <w:t xml:space="preserve"> rates increase monotonically across loan grades. Figure 1 illustrates the relationship between loan grade and default rate, forming the basis for defining the cutoff boundaries under Policy A and Policy B. Grades A–C exhibit default rates ranging from 7.2% to 20.8%, with an average interest rate of 12.2%. In contrast, Grade D loans have a substantially higher default rate of 27.1% but offer a higher average interest rate of 18.5%. The central business question is whether this additional yield sufficiently compensates for the increased default risk.</w:t>
      </w:r>
    </w:p>
    <w:p w14:paraId="055DE679" w14:textId="77777777" w:rsidR="00F001E5" w:rsidRPr="001E4469" w:rsidRDefault="00EA384E" w:rsidP="00F001E5">
      <w:pPr>
        <w:keepNext/>
        <w:jc w:val="center"/>
      </w:pPr>
      <w:r w:rsidRPr="001E4469">
        <w:lastRenderedPageBreak/>
        <w:drawing>
          <wp:inline distT="0" distB="0" distL="0" distR="0" wp14:anchorId="33C73209" wp14:editId="7F35FAAA">
            <wp:extent cx="4169841" cy="2356611"/>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4988"/>
                    <a:stretch>
                      <a:fillRect/>
                    </a:stretch>
                  </pic:blipFill>
                  <pic:spPr bwMode="auto">
                    <a:xfrm>
                      <a:off x="0" y="0"/>
                      <a:ext cx="4176138" cy="2360170"/>
                    </a:xfrm>
                    <a:prstGeom prst="rect">
                      <a:avLst/>
                    </a:prstGeom>
                    <a:ln>
                      <a:noFill/>
                    </a:ln>
                    <a:extLst>
                      <a:ext uri="{53640926-AAD7-44D8-BBD7-CCE9431645EC}">
                        <a14:shadowObscured xmlns:a14="http://schemas.microsoft.com/office/drawing/2010/main"/>
                      </a:ext>
                    </a:extLst>
                  </pic:spPr>
                </pic:pic>
              </a:graphicData>
            </a:graphic>
          </wp:inline>
        </w:drawing>
      </w:r>
    </w:p>
    <w:p w14:paraId="11B8935A" w14:textId="1C440B9F" w:rsidR="00EA384E" w:rsidRPr="001E4469" w:rsidRDefault="00F001E5" w:rsidP="00F001E5">
      <w:pPr>
        <w:pStyle w:val="Caption"/>
        <w:jc w:val="center"/>
        <w:rPr>
          <w:rFonts w:eastAsiaTheme="minorEastAsia"/>
        </w:rPr>
      </w:pPr>
      <w:bookmarkStart w:id="6" w:name="_Toc225095902"/>
      <w:r w:rsidRPr="001E4469">
        <w:t xml:space="preserve">Figure </w:t>
      </w:r>
      <w:r w:rsidRPr="001E4469">
        <w:fldChar w:fldCharType="begin"/>
      </w:r>
      <w:r w:rsidRPr="001E4469">
        <w:instrText xml:space="preserve"> SEQ Figure \* ARABIC </w:instrText>
      </w:r>
      <w:r w:rsidRPr="001E4469">
        <w:fldChar w:fldCharType="separate"/>
      </w:r>
      <w:r w:rsidR="005B0A00" w:rsidRPr="001E4469">
        <w:t>1</w:t>
      </w:r>
      <w:r w:rsidRPr="001E4469">
        <w:fldChar w:fldCharType="end"/>
      </w:r>
      <w:r w:rsidRPr="001E4469">
        <w:t xml:space="preserve"> Default Rate by Loan Grade with Policy </w:t>
      </w:r>
      <w:proofErr w:type="spellStart"/>
      <w:r w:rsidRPr="001E4469">
        <w:t>Boudaries</w:t>
      </w:r>
      <w:bookmarkEnd w:id="6"/>
      <w:proofErr w:type="spellEnd"/>
    </w:p>
    <w:p w14:paraId="5EE3EC77" w14:textId="0C4899FC" w:rsidR="00C509C5" w:rsidRPr="001E4469" w:rsidRDefault="00C509C5" w:rsidP="000D724E">
      <w:pPr>
        <w:rPr>
          <w:rFonts w:eastAsiaTheme="minorEastAsia"/>
        </w:rPr>
      </w:pPr>
      <w:r w:rsidRPr="001E4469">
        <w:rPr>
          <w:rFonts w:eastAsiaTheme="minorEastAsia"/>
        </w:rPr>
        <w:t xml:space="preserve">Since Grade D inclusion is expected to </w:t>
      </w:r>
      <w:r w:rsidR="00493FA0" w:rsidRPr="001E4469">
        <w:rPr>
          <w:rFonts w:eastAsiaTheme="minorEastAsia"/>
        </w:rPr>
        <w:t>increase defaults, a one-sided hypothesis was specified:</w:t>
      </w:r>
    </w:p>
    <w:p w14:paraId="5DB4A2DA" w14:textId="0D3371C7" w:rsidR="00493FA0" w:rsidRPr="001E4469" w:rsidRDefault="00493FA0" w:rsidP="000D724E">
      <w:pPr>
        <w:rPr>
          <w:rFonts w:eastAsiaTheme="minorEastAsia"/>
        </w:rPr>
      </w:pPr>
      <w:r w:rsidRPr="001E4469">
        <w:rPr>
          <w:rFonts w:eastAsiaTheme="minorEastAsia"/>
        </w:rPr>
        <w:tab/>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oMath>
      <w:r w:rsidR="00C5781C" w:rsidRPr="001E4469">
        <w:rPr>
          <w:rFonts w:eastAsiaTheme="minorEastAsia"/>
        </w:rPr>
        <w:t xml:space="preserve"> DR(Policy B) </w:t>
      </w:r>
      <w:r w:rsidR="003A56D4" w:rsidRPr="001E4469">
        <w:rPr>
          <w:rFonts w:eastAsiaTheme="minorEastAsia"/>
        </w:rPr>
        <w:t>≤ DR(Policy A)</w:t>
      </w:r>
    </w:p>
    <w:p w14:paraId="6E459718" w14:textId="36370A66" w:rsidR="003A56D4" w:rsidRPr="001E4469" w:rsidRDefault="003A56D4" w:rsidP="00683867">
      <w:pPr>
        <w:rPr>
          <w:rFonts w:eastAsiaTheme="minorEastAsia"/>
        </w:rPr>
      </w:pPr>
      <w:r w:rsidRPr="001E4469">
        <w:rPr>
          <w:rFonts w:eastAsiaTheme="minorEastAsia"/>
        </w:rPr>
        <w:tab/>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oMath>
      <w:r w:rsidRPr="001E4469">
        <w:rPr>
          <w:rFonts w:eastAsiaTheme="minorEastAsia"/>
        </w:rPr>
        <w:t xml:space="preserve"> DR(Policy B) &gt; DR(Policy A)</w:t>
      </w:r>
      <w:r w:rsidR="00E6109E" w:rsidRPr="001E4469">
        <w:rPr>
          <w:rFonts w:eastAsiaTheme="minorEastAsia"/>
        </w:rPr>
        <w:t xml:space="preserve">  [</w:t>
      </w:r>
      <w:r w:rsidR="00683867" w:rsidRPr="001E4469">
        <w:rPr>
          <w:rFonts w:eastAsiaTheme="minorEastAsia"/>
        </w:rPr>
        <w:t>α = 0.05</w:t>
      </w:r>
      <w:r w:rsidR="00E6109E" w:rsidRPr="001E4469">
        <w:rPr>
          <w:rFonts w:eastAsiaTheme="minorEastAsia"/>
        </w:rPr>
        <w:t>]</w:t>
      </w:r>
    </w:p>
    <w:p w14:paraId="2BA51199" w14:textId="68205B17" w:rsidR="00683867" w:rsidRPr="001E4469" w:rsidRDefault="0034664F" w:rsidP="00683867">
      <w:pPr>
        <w:pStyle w:val="Heading2"/>
      </w:pPr>
      <w:bookmarkStart w:id="7" w:name="_Toc225096053"/>
      <w:r w:rsidRPr="001E4469">
        <w:t>3.</w:t>
      </w:r>
      <w:r w:rsidR="00AB595E" w:rsidRPr="001E4469">
        <w:t>3</w:t>
      </w:r>
      <w:r w:rsidRPr="001E4469">
        <w:t xml:space="preserve"> Policy Comparison </w:t>
      </w:r>
      <w:r w:rsidR="003E3B0D" w:rsidRPr="001E4469">
        <w:t>(211)</w:t>
      </w:r>
      <w:bookmarkEnd w:id="7"/>
    </w:p>
    <w:p w14:paraId="73EEBEA2" w14:textId="7AA6BE65" w:rsidR="00683867" w:rsidRPr="001E4469" w:rsidRDefault="00683867" w:rsidP="00683867">
      <w:r w:rsidRPr="001E4469">
        <w:t xml:space="preserve">Policy A’s approvals are a strict subset </w:t>
      </w:r>
      <w:r w:rsidR="005123E2">
        <w:t>o</w:t>
      </w:r>
      <w:r w:rsidRPr="001E4469">
        <w:t xml:space="preserve">f Policy B’s, </w:t>
      </w:r>
      <w:r w:rsidR="00A34972" w:rsidRPr="001E4469">
        <w:t>as suc</w:t>
      </w:r>
      <w:r w:rsidR="00215A32" w:rsidRPr="001E4469">
        <w:t>h</w:t>
      </w:r>
      <w:r w:rsidR="00A34972" w:rsidRPr="001E4469">
        <w:t xml:space="preserve"> </w:t>
      </w:r>
      <w:r w:rsidRPr="001E4469">
        <w:t>the samples are not independent</w:t>
      </w:r>
      <w:r w:rsidR="008A581A" w:rsidRPr="001E4469">
        <w:t xml:space="preserve"> violating standard z-test assumptions.</w:t>
      </w:r>
      <w:r w:rsidR="00935DCF" w:rsidRPr="001E4469">
        <w:t xml:space="preserve"> The comparison was conducted via deterministic decomposition and validated with non-parametric bootstrap (</w:t>
      </w:r>
      <w:r w:rsidR="00476FB2" w:rsidRPr="001E4469">
        <w:t>5,000 resamples</w:t>
      </w:r>
      <w:r w:rsidR="00935DCF" w:rsidRPr="001E4469">
        <w:t>)</w:t>
      </w:r>
      <w:r w:rsidR="00476FB2" w:rsidRPr="001E4469">
        <w:t xml:space="preserve"> following Efron </w:t>
      </w:r>
      <w:proofErr w:type="spellStart"/>
      <w:r w:rsidR="00476FB2" w:rsidRPr="001E4469">
        <w:t>Tibshirani</w:t>
      </w:r>
      <w:proofErr w:type="spellEnd"/>
      <w:r w:rsidR="00476FB2" w:rsidRPr="001E4469">
        <w:t xml:space="preserve"> (1993). </w:t>
      </w:r>
      <w:r w:rsidR="002F689E" w:rsidRPr="001E4469">
        <w:t xml:space="preserve">The decomposition confirms the shared A-C </w:t>
      </w:r>
      <w:r w:rsidR="00455C68" w:rsidRPr="001E4469">
        <w:t>pool defaults at 14.33%, the marginal grade D pool at 27.10% and the combined portfolio at 16.23% - the 1.90 pp increase driven entirely by grade D inclusion. The key outcomes for each policy across the full dataset</w:t>
      </w:r>
      <w:r w:rsidR="00420FF3" w:rsidRPr="001E4469">
        <w:t>, including approval volumes, default rates and the financial proxy,</w:t>
      </w:r>
      <w:r w:rsidR="005123FC" w:rsidRPr="001E4469">
        <w:t xml:space="preserve"> are summarized in Table 1.</w:t>
      </w:r>
    </w:p>
    <w:p w14:paraId="08DFAEA6" w14:textId="554C79E4" w:rsidR="00AB595E" w:rsidRPr="001E4469" w:rsidRDefault="00AB595E" w:rsidP="00AB595E">
      <w:pPr>
        <w:pStyle w:val="Caption"/>
        <w:keepNext/>
        <w:jc w:val="center"/>
      </w:pPr>
      <w:bookmarkStart w:id="8" w:name="_Toc225095967"/>
      <w:r w:rsidRPr="001E4469">
        <w:t xml:space="preserve">Table </w:t>
      </w:r>
      <w:r w:rsidRPr="001E4469">
        <w:fldChar w:fldCharType="begin"/>
      </w:r>
      <w:r w:rsidRPr="001E4469">
        <w:instrText xml:space="preserve"> SEQ Table \* ARABIC </w:instrText>
      </w:r>
      <w:r w:rsidRPr="001E4469">
        <w:fldChar w:fldCharType="separate"/>
      </w:r>
      <w:r w:rsidR="004B6F27" w:rsidRPr="001E4469">
        <w:t>1</w:t>
      </w:r>
      <w:r w:rsidRPr="001E4469">
        <w:fldChar w:fldCharType="end"/>
      </w:r>
      <w:r w:rsidRPr="001E4469">
        <w:t xml:space="preserve"> Policy A vs. Policy B comparison</w:t>
      </w:r>
      <w:bookmarkEnd w:id="8"/>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1560"/>
      </w:tblGrid>
      <w:tr w:rsidR="004F75B5" w:rsidRPr="001E4469" w14:paraId="55675DF3" w14:textId="77777777" w:rsidTr="004F75B5">
        <w:trPr>
          <w:tblHeade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313456" w14:textId="77777777" w:rsidR="004F75B5" w:rsidRPr="001E4469" w:rsidRDefault="004F75B5" w:rsidP="00BB011E">
            <w:pPr>
              <w:jc w:val="center"/>
            </w:pPr>
            <w:r w:rsidRPr="001E4469">
              <w:rPr>
                <w:rFonts w:ascii="Arial" w:eastAsia="Arial" w:hAnsi="Arial" w:cs="Arial"/>
                <w:b/>
                <w:bCs/>
                <w:color w:val="FFFFFF"/>
                <w:sz w:val="20"/>
                <w:szCs w:val="20"/>
              </w:rPr>
              <w:t>Metric</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B17985" w14:textId="77777777" w:rsidR="004F75B5" w:rsidRPr="001E4469" w:rsidRDefault="004F75B5" w:rsidP="00BB011E">
            <w:pPr>
              <w:jc w:val="center"/>
            </w:pPr>
            <w:r w:rsidRPr="001E4469">
              <w:rPr>
                <w:rFonts w:ascii="Arial" w:eastAsia="Arial" w:hAnsi="Arial" w:cs="Arial"/>
                <w:b/>
                <w:bCs/>
                <w:color w:val="FFFFFF"/>
                <w:sz w:val="20"/>
                <w:szCs w:val="20"/>
              </w:rPr>
              <w:t>Policy A (A–C)</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8FB895" w14:textId="77777777" w:rsidR="004F75B5" w:rsidRPr="001E4469" w:rsidRDefault="004F75B5" w:rsidP="00BB011E">
            <w:pPr>
              <w:jc w:val="center"/>
            </w:pPr>
            <w:r w:rsidRPr="001E4469">
              <w:rPr>
                <w:rFonts w:ascii="Arial" w:eastAsia="Arial" w:hAnsi="Arial" w:cs="Arial"/>
                <w:b/>
                <w:bCs/>
                <w:color w:val="FFFFFF"/>
                <w:sz w:val="20"/>
                <w:szCs w:val="20"/>
              </w:rPr>
              <w:t>Policy B (A–D)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A92117" w14:textId="77777777" w:rsidR="004F75B5" w:rsidRPr="001E4469" w:rsidRDefault="004F75B5" w:rsidP="00BB011E">
            <w:pPr>
              <w:jc w:val="center"/>
            </w:pPr>
            <w:r w:rsidRPr="001E4469">
              <w:rPr>
                <w:rFonts w:ascii="Arial" w:eastAsia="Arial" w:hAnsi="Arial" w:cs="Arial"/>
                <w:b/>
                <w:bCs/>
                <w:color w:val="FFFFFF"/>
                <w:sz w:val="20"/>
                <w:szCs w:val="20"/>
              </w:rPr>
              <w:t>Difference</w:t>
            </w:r>
          </w:p>
        </w:tc>
      </w:tr>
      <w:tr w:rsidR="004F75B5" w:rsidRPr="001E4469" w14:paraId="6CEAA94E" w14:textId="77777777" w:rsidTr="004F75B5">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798C1102" w14:textId="77777777" w:rsidR="004F75B5" w:rsidRPr="001E4469" w:rsidRDefault="004F75B5" w:rsidP="00BB011E">
            <w:r w:rsidRPr="001E4469">
              <w:rPr>
                <w:rFonts w:ascii="Arial" w:eastAsia="Arial" w:hAnsi="Arial" w:cs="Arial"/>
                <w:b/>
                <w:bCs/>
                <w:sz w:val="20"/>
                <w:szCs w:val="20"/>
              </w:rPr>
              <w:t>Approved loans</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D7582D9" w14:textId="77777777" w:rsidR="004F75B5" w:rsidRPr="001E4469" w:rsidRDefault="004F75B5" w:rsidP="00BB011E">
            <w:pPr>
              <w:jc w:val="center"/>
            </w:pPr>
            <w:r w:rsidRPr="001E4469">
              <w:rPr>
                <w:rFonts w:ascii="Arial" w:eastAsia="Arial" w:hAnsi="Arial" w:cs="Arial"/>
                <w:sz w:val="20"/>
                <w:szCs w:val="20"/>
              </w:rPr>
              <w:t>34,231</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702981E4" w14:textId="77777777" w:rsidR="004F75B5" w:rsidRPr="001E4469" w:rsidRDefault="004F75B5" w:rsidP="00BB011E">
            <w:pPr>
              <w:jc w:val="center"/>
            </w:pPr>
            <w:r w:rsidRPr="001E4469">
              <w:rPr>
                <w:rFonts w:ascii="Arial" w:eastAsia="Arial" w:hAnsi="Arial" w:cs="Arial"/>
                <w:sz w:val="20"/>
                <w:szCs w:val="20"/>
              </w:rPr>
              <w:t>40,227</w:t>
            </w:r>
          </w:p>
        </w:tc>
        <w:tc>
          <w:tcPr>
            <w:tcW w:w="15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368F77A" w14:textId="77777777" w:rsidR="004F75B5" w:rsidRPr="001E4469" w:rsidRDefault="004F75B5" w:rsidP="00BB011E">
            <w:pPr>
              <w:jc w:val="center"/>
            </w:pPr>
            <w:r w:rsidRPr="001E4469">
              <w:rPr>
                <w:rFonts w:ascii="Arial" w:eastAsia="Arial" w:hAnsi="Arial" w:cs="Arial"/>
                <w:sz w:val="20"/>
                <w:szCs w:val="20"/>
              </w:rPr>
              <w:t>+5,996</w:t>
            </w:r>
          </w:p>
        </w:tc>
      </w:tr>
      <w:tr w:rsidR="004F75B5" w:rsidRPr="001E4469" w14:paraId="3BF94132" w14:textId="77777777" w:rsidTr="004F75B5">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16E1910" w14:textId="77777777" w:rsidR="004F75B5" w:rsidRPr="001E4469" w:rsidRDefault="004F75B5" w:rsidP="00BB011E">
            <w:r w:rsidRPr="001E4469">
              <w:rPr>
                <w:rFonts w:ascii="Arial" w:eastAsia="Arial" w:hAnsi="Arial" w:cs="Arial"/>
                <w:b/>
                <w:bCs/>
                <w:sz w:val="20"/>
                <w:szCs w:val="20"/>
              </w:rPr>
              <w:t>Approval rate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7C43AE0" w14:textId="77777777" w:rsidR="004F75B5" w:rsidRPr="001E4469" w:rsidRDefault="004F75B5" w:rsidP="00BB011E">
            <w:pPr>
              <w:jc w:val="center"/>
            </w:pPr>
            <w:r w:rsidRPr="001E4469">
              <w:rPr>
                <w:rFonts w:ascii="Arial" w:eastAsia="Arial" w:hAnsi="Arial" w:cs="Arial"/>
                <w:sz w:val="20"/>
                <w:szCs w:val="20"/>
              </w:rPr>
              <w:t>78.9%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E1388D4" w14:textId="77777777" w:rsidR="004F75B5" w:rsidRPr="001E4469" w:rsidRDefault="004F75B5" w:rsidP="00BB011E">
            <w:pPr>
              <w:jc w:val="center"/>
            </w:pPr>
            <w:r w:rsidRPr="001E4469">
              <w:rPr>
                <w:rFonts w:ascii="Arial" w:eastAsia="Arial" w:hAnsi="Arial" w:cs="Arial"/>
                <w:sz w:val="20"/>
                <w:szCs w:val="20"/>
              </w:rPr>
              <w:t>92.7%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E751026" w14:textId="77777777" w:rsidR="004F75B5" w:rsidRPr="001E4469" w:rsidRDefault="004F75B5" w:rsidP="00BB011E">
            <w:pPr>
              <w:jc w:val="center"/>
            </w:pPr>
            <w:r w:rsidRPr="001E4469">
              <w:rPr>
                <w:rFonts w:ascii="Arial" w:eastAsia="Arial" w:hAnsi="Arial" w:cs="Arial"/>
                <w:sz w:val="20"/>
                <w:szCs w:val="20"/>
              </w:rPr>
              <w:t>+13.8 pp</w:t>
            </w:r>
          </w:p>
        </w:tc>
      </w:tr>
      <w:tr w:rsidR="004F75B5" w:rsidRPr="001E4469" w14:paraId="5CA6B6C9" w14:textId="77777777" w:rsidTr="004F75B5">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6446E843" w14:textId="77777777" w:rsidR="004F75B5" w:rsidRPr="001E4469" w:rsidRDefault="004F75B5" w:rsidP="00BB011E">
            <w:r w:rsidRPr="001E4469">
              <w:rPr>
                <w:rFonts w:ascii="Arial" w:eastAsia="Arial" w:hAnsi="Arial" w:cs="Arial"/>
                <w:b/>
                <w:bCs/>
                <w:sz w:val="20"/>
                <w:szCs w:val="20"/>
              </w:rPr>
              <w:t>Default rate</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F494F06" w14:textId="77777777" w:rsidR="004F75B5" w:rsidRPr="001E4469" w:rsidRDefault="004F75B5" w:rsidP="00BB011E">
            <w:pPr>
              <w:jc w:val="center"/>
            </w:pPr>
            <w:r w:rsidRPr="001E4469">
              <w:rPr>
                <w:rFonts w:ascii="Arial" w:eastAsia="Arial" w:hAnsi="Arial" w:cs="Arial"/>
                <w:sz w:val="20"/>
                <w:szCs w:val="20"/>
              </w:rPr>
              <w:t>14.33%</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A695640" w14:textId="77777777" w:rsidR="004F75B5" w:rsidRPr="001E4469" w:rsidRDefault="004F75B5" w:rsidP="00BB011E">
            <w:pPr>
              <w:jc w:val="center"/>
            </w:pPr>
            <w:r w:rsidRPr="001E4469">
              <w:rPr>
                <w:rFonts w:ascii="Arial" w:eastAsia="Arial" w:hAnsi="Arial" w:cs="Arial"/>
                <w:sz w:val="20"/>
                <w:szCs w:val="20"/>
              </w:rPr>
              <w:t>16.23%</w:t>
            </w:r>
          </w:p>
        </w:tc>
        <w:tc>
          <w:tcPr>
            <w:tcW w:w="15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61E8A27" w14:textId="77777777" w:rsidR="004F75B5" w:rsidRPr="001E4469" w:rsidRDefault="004F75B5" w:rsidP="00BB011E">
            <w:pPr>
              <w:jc w:val="center"/>
            </w:pPr>
            <w:r w:rsidRPr="001E4469">
              <w:rPr>
                <w:rFonts w:ascii="Arial" w:eastAsia="Arial" w:hAnsi="Arial" w:cs="Arial"/>
                <w:sz w:val="20"/>
                <w:szCs w:val="20"/>
              </w:rPr>
              <w:t>+1.90 pp</w:t>
            </w:r>
          </w:p>
        </w:tc>
      </w:tr>
      <w:tr w:rsidR="004F75B5" w:rsidRPr="001E4469" w14:paraId="7A871D82" w14:textId="77777777" w:rsidTr="004F75B5">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2BF14D7" w14:textId="77777777" w:rsidR="004F75B5" w:rsidRPr="001E4469" w:rsidRDefault="004F75B5" w:rsidP="00BB011E">
            <w:r w:rsidRPr="001E4469">
              <w:rPr>
                <w:rFonts w:ascii="Arial" w:eastAsia="Arial" w:hAnsi="Arial" w:cs="Arial"/>
                <w:b/>
                <w:bCs/>
                <w:sz w:val="20"/>
                <w:szCs w:val="20"/>
              </w:rPr>
              <w:t>Good loans rejected</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78F2B15" w14:textId="77777777" w:rsidR="004F75B5" w:rsidRPr="001E4469" w:rsidRDefault="004F75B5" w:rsidP="00BB011E">
            <w:pPr>
              <w:jc w:val="center"/>
            </w:pPr>
            <w:r w:rsidRPr="001E4469">
              <w:rPr>
                <w:rFonts w:ascii="Arial" w:eastAsia="Arial" w:hAnsi="Arial" w:cs="Arial"/>
                <w:sz w:val="20"/>
                <w:szCs w:val="20"/>
              </w:rPr>
              <w:t>6,239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74C090" w14:textId="77777777" w:rsidR="004F75B5" w:rsidRPr="001E4469" w:rsidRDefault="004F75B5" w:rsidP="00BB011E">
            <w:pPr>
              <w:jc w:val="center"/>
            </w:pPr>
            <w:r w:rsidRPr="001E4469">
              <w:rPr>
                <w:rFonts w:ascii="Arial" w:eastAsia="Arial" w:hAnsi="Arial" w:cs="Arial"/>
                <w:sz w:val="20"/>
                <w:szCs w:val="20"/>
              </w:rPr>
              <w:t>1,868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C0C2F7F" w14:textId="77777777" w:rsidR="004F75B5" w:rsidRPr="001E4469" w:rsidRDefault="004F75B5" w:rsidP="00BB011E">
            <w:pPr>
              <w:jc w:val="center"/>
            </w:pPr>
            <w:r w:rsidRPr="001E4469">
              <w:rPr>
                <w:rFonts w:ascii="Arial" w:eastAsia="Arial" w:hAnsi="Arial" w:cs="Arial"/>
                <w:sz w:val="20"/>
                <w:szCs w:val="20"/>
              </w:rPr>
              <w:t>−4,371</w:t>
            </w:r>
          </w:p>
        </w:tc>
      </w:tr>
      <w:tr w:rsidR="004F75B5" w:rsidRPr="001E4469" w14:paraId="67880D09" w14:textId="77777777" w:rsidTr="004F75B5">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2C840687" w14:textId="77777777" w:rsidR="004F75B5" w:rsidRPr="001E4469" w:rsidRDefault="004F75B5" w:rsidP="00BB011E">
            <w:r w:rsidRPr="001E4469">
              <w:rPr>
                <w:rFonts w:ascii="Arial" w:eastAsia="Arial" w:hAnsi="Arial" w:cs="Arial"/>
                <w:b/>
                <w:bCs/>
                <w:sz w:val="20"/>
                <w:szCs w:val="20"/>
              </w:rPr>
              <w:lastRenderedPageBreak/>
              <w:t>Financial proxy</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5FFB3E16" w14:textId="77777777" w:rsidR="004F75B5" w:rsidRPr="001E4469" w:rsidRDefault="004F75B5" w:rsidP="00BB011E">
            <w:pPr>
              <w:jc w:val="center"/>
            </w:pPr>
            <w:r w:rsidRPr="001E4469">
              <w:rPr>
                <w:rFonts w:ascii="Arial" w:eastAsia="Arial" w:hAnsi="Arial" w:cs="Arial"/>
                <w:sz w:val="20"/>
                <w:szCs w:val="20"/>
              </w:rPr>
              <w:t>$13.3M ($388/loan)</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4489B20D" w14:textId="77777777" w:rsidR="004F75B5" w:rsidRPr="001E4469" w:rsidRDefault="004F75B5" w:rsidP="00BB011E">
            <w:pPr>
              <w:jc w:val="center"/>
            </w:pPr>
            <w:r w:rsidRPr="001E4469">
              <w:rPr>
                <w:rFonts w:ascii="Arial" w:eastAsia="Arial" w:hAnsi="Arial" w:cs="Arial"/>
                <w:sz w:val="20"/>
                <w:szCs w:val="20"/>
              </w:rPr>
              <w:t>$12.0M ($298/loan)</w:t>
            </w:r>
          </w:p>
        </w:tc>
        <w:tc>
          <w:tcPr>
            <w:tcW w:w="15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71807150" w14:textId="77777777" w:rsidR="004F75B5" w:rsidRPr="001E4469" w:rsidRDefault="004F75B5" w:rsidP="00BB011E">
            <w:pPr>
              <w:jc w:val="center"/>
            </w:pPr>
            <w:r w:rsidRPr="001E4469">
              <w:rPr>
                <w:rFonts w:ascii="Arial" w:eastAsia="Arial" w:hAnsi="Arial" w:cs="Arial"/>
                <w:sz w:val="20"/>
                <w:szCs w:val="20"/>
              </w:rPr>
              <w:t>−$1.3M</w:t>
            </w:r>
          </w:p>
        </w:tc>
      </w:tr>
    </w:tbl>
    <w:p w14:paraId="2205C3B3" w14:textId="77777777" w:rsidR="005123FC" w:rsidRPr="001E4469" w:rsidRDefault="005123FC" w:rsidP="00683867"/>
    <w:p w14:paraId="10413564" w14:textId="59F1BEF1" w:rsidR="00CA5DED" w:rsidRPr="001E4469" w:rsidRDefault="00CA5DED" w:rsidP="00CA5DED">
      <w:r w:rsidRPr="001E4469">
        <w:t>The three key trade-offs between the policies</w:t>
      </w:r>
      <w:r w:rsidR="00935A81" w:rsidRPr="001E4469">
        <w:t xml:space="preserve"> – approval volume, portfolio default rate and opportunity cost associated with rejecting creditworthy borrowers - is illustrated in Figure 2. </w:t>
      </w:r>
      <w:r w:rsidRPr="001E4469">
        <w:t>The bootstrap analysis yields a 95% confidence interval of [+1.72%, +2.08%], with Policy B outperforming Policy A in 100% of resamples (p &lt; 0.0001), providing strong evidence to reject the null hypothesis (H₀). The interest-income proxy indicates that Policy A generates approximately $13.3M, compared to $12.0M under Policy B. However, this proxy does not account for partial recoveries or early repayments, meaning the financial case for expanding approvals remains sensitive to underlying recovery assumptions</w:t>
      </w:r>
      <w:r w:rsidR="009E1F90" w:rsidRPr="001E4469">
        <w:t>.</w:t>
      </w:r>
    </w:p>
    <w:p w14:paraId="24CA120E" w14:textId="77777777" w:rsidR="005E2111" w:rsidRPr="001E4469" w:rsidRDefault="00C8220D" w:rsidP="005E2111">
      <w:pPr>
        <w:keepNext/>
        <w:jc w:val="center"/>
      </w:pPr>
      <w:r w:rsidRPr="001E4469">
        <w:drawing>
          <wp:inline distT="0" distB="0" distL="0" distR="0" wp14:anchorId="6D990EE9" wp14:editId="23DDF769">
            <wp:extent cx="5524500" cy="1905000"/>
            <wp:effectExtent l="0" t="0" r="0" b="0"/>
            <wp:docPr id="265696980" name="Picture 26569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905000"/>
                    </a:xfrm>
                    <a:prstGeom prst="rect">
                      <a:avLst/>
                    </a:prstGeom>
                  </pic:spPr>
                </pic:pic>
              </a:graphicData>
            </a:graphic>
          </wp:inline>
        </w:drawing>
      </w:r>
    </w:p>
    <w:p w14:paraId="764D8AEE" w14:textId="21F90BF9" w:rsidR="00E2009B" w:rsidRPr="001E4469" w:rsidRDefault="005E2111" w:rsidP="005E2111">
      <w:pPr>
        <w:pStyle w:val="Caption"/>
        <w:jc w:val="center"/>
      </w:pPr>
      <w:bookmarkStart w:id="9" w:name="_Toc225095903"/>
      <w:r w:rsidRPr="001E4469">
        <w:t xml:space="preserve">Figure </w:t>
      </w:r>
      <w:r w:rsidRPr="001E4469">
        <w:fldChar w:fldCharType="begin"/>
      </w:r>
      <w:r w:rsidRPr="001E4469">
        <w:instrText xml:space="preserve"> SEQ Figure \* ARABIC </w:instrText>
      </w:r>
      <w:r w:rsidRPr="001E4469">
        <w:fldChar w:fldCharType="separate"/>
      </w:r>
      <w:r w:rsidR="005B0A00" w:rsidRPr="001E4469">
        <w:t>2</w:t>
      </w:r>
      <w:r w:rsidRPr="001E4469">
        <w:fldChar w:fldCharType="end"/>
      </w:r>
      <w:r w:rsidRPr="001E4469">
        <w:t xml:space="preserve"> Policy A vs. Policy  (approval rate, default rate and good loans rejected)</w:t>
      </w:r>
      <w:bookmarkEnd w:id="9"/>
    </w:p>
    <w:p w14:paraId="5FF6A7F1" w14:textId="77777777" w:rsidR="00455C68" w:rsidRPr="001E4469" w:rsidRDefault="00455C68" w:rsidP="00683867"/>
    <w:p w14:paraId="06D739D6" w14:textId="567E4C37" w:rsidR="0034664F" w:rsidRPr="001E4469" w:rsidRDefault="0034664F" w:rsidP="0034664F">
      <w:pPr>
        <w:pStyle w:val="Heading2"/>
      </w:pPr>
      <w:bookmarkStart w:id="10" w:name="_Toc225096054"/>
      <w:r w:rsidRPr="001E4469">
        <w:t>3.</w:t>
      </w:r>
      <w:r w:rsidR="00215A32" w:rsidRPr="001E4469">
        <w:t>4</w:t>
      </w:r>
      <w:r w:rsidRPr="001E4469">
        <w:t xml:space="preserve"> Limitations </w:t>
      </w:r>
      <w:r w:rsidR="0019795A" w:rsidRPr="001E4469">
        <w:t>(135)</w:t>
      </w:r>
      <w:bookmarkEnd w:id="10"/>
    </w:p>
    <w:p w14:paraId="30B8A090" w14:textId="413993A9" w:rsidR="00235AD8" w:rsidRPr="001E4469" w:rsidRDefault="00A9051D" w:rsidP="00235AD8">
      <w:r w:rsidRPr="001E4469">
        <w:t xml:space="preserve">This analysis is based on a simulated comparison using observational data rather than a randomized, controlled experiment. Several key limitations should therefore be acknowledged. First, selection bias </w:t>
      </w:r>
      <w:r w:rsidR="006E6FCD" w:rsidRPr="001E4469">
        <w:t xml:space="preserve">is a concern, as only funded loans are observed; counterfactual outcomes </w:t>
      </w:r>
      <w:r w:rsidR="00A370BC" w:rsidRPr="001E4469">
        <w:t>for rejected applicants cannot be estimated</w:t>
      </w:r>
      <w:r w:rsidR="000572A0" w:rsidRPr="001E4469">
        <w:t xml:space="preserve"> as discussed in Banasik et al.,(2003). </w:t>
      </w:r>
      <w:r w:rsidR="0061546B" w:rsidRPr="001E4469">
        <w:t xml:space="preserve">Second, grade endogeneity arises because </w:t>
      </w:r>
      <w:proofErr w:type="spellStart"/>
      <w:r w:rsidR="0061546B" w:rsidRPr="001E4469">
        <w:t>LendingCLub</w:t>
      </w:r>
      <w:proofErr w:type="spellEnd"/>
      <w:r w:rsidR="0061546B" w:rsidRPr="001E4469">
        <w:t xml:space="preserve"> grades are used as policy thresholds</w:t>
      </w:r>
      <w:r w:rsidR="00600E1F" w:rsidRPr="001E4469">
        <w:t xml:space="preserve">; lending grades </w:t>
      </w:r>
      <w:r w:rsidR="0030325B" w:rsidRPr="001E4469">
        <w:t>embed lender risk assessment introducing circularity</w:t>
      </w:r>
      <w:r w:rsidR="00EB534E" w:rsidRPr="001E4469">
        <w:t>. Third</w:t>
      </w:r>
      <w:r w:rsidR="00F0132B" w:rsidRPr="001E4469">
        <w:t>, label ambiguity exi</w:t>
      </w:r>
      <w:r w:rsidR="00584E78" w:rsidRPr="001E4469">
        <w:t>sts, with 505 loans classified as late/grace period treated as defaults, despite the possibility of partial recovery</w:t>
      </w:r>
      <w:r w:rsidR="0039617A" w:rsidRPr="001E4469">
        <w:t>, potentia</w:t>
      </w:r>
      <w:r w:rsidR="00532687" w:rsidRPr="001E4469">
        <w:t>l</w:t>
      </w:r>
      <w:r w:rsidR="0039617A" w:rsidRPr="001E4469">
        <w:t>l</w:t>
      </w:r>
      <w:r w:rsidR="00532687" w:rsidRPr="001E4469">
        <w:t>y</w:t>
      </w:r>
      <w:r w:rsidR="0039617A" w:rsidRPr="001E4469">
        <w:t xml:space="preserve"> o</w:t>
      </w:r>
      <w:r w:rsidR="00532687" w:rsidRPr="001E4469">
        <w:t>verstating the default rate</w:t>
      </w:r>
      <w:r w:rsidR="002D0978" w:rsidRPr="001E4469">
        <w:t xml:space="preserve"> by approximately 1 percentage</w:t>
      </w:r>
      <w:r w:rsidR="007B38D5">
        <w:t>-</w:t>
      </w:r>
      <w:r w:rsidR="002D0978" w:rsidRPr="001E4469">
        <w:t>point</w:t>
      </w:r>
      <w:r w:rsidR="006527E6">
        <w:t xml:space="preserve"> (</w:t>
      </w:r>
      <w:r w:rsidR="00765348">
        <w:t>pp</w:t>
      </w:r>
      <w:r w:rsidR="006527E6">
        <w:t>)</w:t>
      </w:r>
      <w:r w:rsidR="002D0978" w:rsidRPr="001E4469">
        <w:t xml:space="preserve">. Finally, the financial proxy excludes </w:t>
      </w:r>
      <w:r w:rsidR="00E44B12" w:rsidRPr="001E4469">
        <w:lastRenderedPageBreak/>
        <w:t>recoveries</w:t>
      </w:r>
      <w:r w:rsidR="00E03382" w:rsidRPr="001E4469">
        <w:t xml:space="preserve"> and pre-default payments, limiting its accuracy as a measure of realized profitability.</w:t>
      </w:r>
    </w:p>
    <w:p w14:paraId="485D6AB8" w14:textId="1652AABA" w:rsidR="00E03382" w:rsidRPr="001E4469" w:rsidRDefault="00E03382" w:rsidP="00235AD8">
      <w:r w:rsidRPr="001E4469">
        <w:t xml:space="preserve">Accordingly, the estimated +1.90 </w:t>
      </w:r>
      <w:r w:rsidR="00765348">
        <w:t>pp</w:t>
      </w:r>
      <w:r w:rsidRPr="001E4469">
        <w:t xml:space="preserve"> difference should be interpreted as a descriptive association rather than a casual effect. </w:t>
      </w:r>
    </w:p>
    <w:p w14:paraId="7ABB5CED" w14:textId="3BB339AF" w:rsidR="0034664F" w:rsidRPr="001E4469" w:rsidRDefault="0034664F" w:rsidP="0034664F">
      <w:pPr>
        <w:pStyle w:val="Heading1"/>
      </w:pPr>
      <w:bookmarkStart w:id="11" w:name="_Toc225096055"/>
      <w:r w:rsidRPr="001E4469">
        <w:t>4. Borrower Segmentation via Cluster Analysis (</w:t>
      </w:r>
      <w:r w:rsidR="0019795A" w:rsidRPr="001E4469">
        <w:t>665</w:t>
      </w:r>
      <w:r w:rsidRPr="001E4469">
        <w:t>)</w:t>
      </w:r>
      <w:bookmarkEnd w:id="11"/>
    </w:p>
    <w:p w14:paraId="00E8E67D" w14:textId="33FA52A1" w:rsidR="0034664F" w:rsidRPr="001E4469" w:rsidRDefault="0034664F" w:rsidP="0034664F">
      <w:pPr>
        <w:pStyle w:val="Heading2"/>
      </w:pPr>
      <w:bookmarkStart w:id="12" w:name="_Toc225096056"/>
      <w:r w:rsidRPr="001E4469">
        <w:t xml:space="preserve">4.1 Feature Selection and Methodology </w:t>
      </w:r>
      <w:r w:rsidR="002D158E" w:rsidRPr="001E4469">
        <w:t>(147)</w:t>
      </w:r>
      <w:bookmarkEnd w:id="12"/>
    </w:p>
    <w:p w14:paraId="661A0987" w14:textId="2DCD6A2C" w:rsidR="00AA38A7" w:rsidRPr="001E4469" w:rsidRDefault="00614AA0" w:rsidP="00AA72BD">
      <w:r w:rsidRPr="001E4469">
        <w:t xml:space="preserve">K-means clustering was applied to 10 continuous application-time variables: annual income, DTI, loan amount, interest rate, revolving utilization, credit history length, delinquencies in the prior 2 years, </w:t>
      </w:r>
      <w:r w:rsidR="00335D8A" w:rsidRPr="001E4469">
        <w:t>recent enquiries, open accounts and revolving balance. Interest rate was included as it captures risk-based pricing at origination. Categorical variables were excluded as Euclidean distance is not meaningful f</w:t>
      </w:r>
      <w:r w:rsidR="00C06D05" w:rsidRPr="001E4469">
        <w:t xml:space="preserve">or </w:t>
      </w:r>
      <w:r w:rsidR="00A84FE7" w:rsidRPr="001E4469">
        <w:t>nominal categories (K-Means was preferred</w:t>
      </w:r>
      <w:r w:rsidR="00044EB6" w:rsidRPr="001E4469">
        <w:t xml:space="preserve"> over hierarchical methods for computational </w:t>
      </w:r>
      <w:r w:rsidR="00135EAC" w:rsidRPr="001E4469">
        <w:t xml:space="preserve">tractability at 43,000+ </w:t>
      </w:r>
      <w:r w:rsidR="005C5CFF" w:rsidRPr="001E4469">
        <w:t>observations</w:t>
      </w:r>
      <w:r w:rsidR="00135EAC" w:rsidRPr="001E4469">
        <w:t xml:space="preserve"> and over DBSCAN as the objective is broad behavioural archetypes</w:t>
      </w:r>
      <w:r w:rsidR="0080740E" w:rsidRPr="001E4469">
        <w:t xml:space="preserve"> rather than density-based clusters</w:t>
      </w:r>
      <w:r w:rsidR="00BA12A8" w:rsidRPr="001E4469">
        <w:t xml:space="preserve">. </w:t>
      </w:r>
      <w:r w:rsidR="0080740E" w:rsidRPr="001E4469">
        <w:t>Features were z-score standardized with 99.5</w:t>
      </w:r>
      <w:r w:rsidR="0080740E" w:rsidRPr="001E4469">
        <w:rPr>
          <w:vertAlign w:val="superscript"/>
        </w:rPr>
        <w:t>th</w:t>
      </w:r>
      <w:r w:rsidR="0080740E" w:rsidRPr="001E4469">
        <w:t xml:space="preserve"> percentile outlier capping to prevent</w:t>
      </w:r>
      <w:r w:rsidR="00B70AC8" w:rsidRPr="001E4469">
        <w:t xml:space="preserve"> extreme values from distorting centroids</w:t>
      </w:r>
      <w:r w:rsidR="00BA12A8" w:rsidRPr="001E4469">
        <w:t xml:space="preserve">. </w:t>
      </w:r>
      <w:r w:rsidR="00BA0067" w:rsidRPr="001E4469">
        <w:t>K</w:t>
      </w:r>
      <w:r w:rsidR="00B70AC8" w:rsidRPr="001E4469">
        <w:t xml:space="preserve"> = 4 was selected</w:t>
      </w:r>
      <w:r w:rsidR="00454CCC" w:rsidRPr="001E4469">
        <w:t xml:space="preserve"> via </w:t>
      </w:r>
      <w:r w:rsidR="005C5CFF" w:rsidRPr="001E4469">
        <w:t>elbow</w:t>
      </w:r>
      <w:r w:rsidR="00454CCC" w:rsidRPr="001E4469">
        <w:t xml:space="preserve"> and silhouette </w:t>
      </w:r>
      <w:r w:rsidR="005C5CFF" w:rsidRPr="001E4469">
        <w:t>analysis</w:t>
      </w:r>
      <w:r w:rsidR="00BA0067" w:rsidRPr="001E4469">
        <w:t xml:space="preserve"> as shown in </w:t>
      </w:r>
      <w:r w:rsidR="000B36AC" w:rsidRPr="001E4469">
        <w:t>F</w:t>
      </w:r>
      <w:r w:rsidR="00BA0067" w:rsidRPr="001E4469">
        <w:t>igure</w:t>
      </w:r>
      <w:r w:rsidR="00AA72BD" w:rsidRPr="001E4469">
        <w:t xml:space="preserve"> 3</w:t>
      </w:r>
      <w:r w:rsidR="00454CCC" w:rsidRPr="001E4469">
        <w:t>.</w:t>
      </w:r>
      <w:r w:rsidR="000A262E" w:rsidRPr="001E4469">
        <w:t xml:space="preserve"> The silhouette score of </w:t>
      </w:r>
      <w:r w:rsidR="00C410F2" w:rsidRPr="001E4469">
        <w:t>~</w:t>
      </w:r>
      <w:r w:rsidR="000A262E" w:rsidRPr="001E4469">
        <w:t xml:space="preserve">0.13 is </w:t>
      </w:r>
      <w:r w:rsidR="00D34D1A" w:rsidRPr="001E4469">
        <w:t xml:space="preserve"> </w:t>
      </w:r>
      <w:r w:rsidR="00B852CA" w:rsidRPr="001E4469">
        <w:t>low but that is to be expected for overlapping credit data</w:t>
      </w:r>
      <w:r w:rsidR="001E0664" w:rsidRPr="001E4469">
        <w:t>. Cluster labels were assigned post-hoc; the default outcome was not used as a clustering input.</w:t>
      </w:r>
    </w:p>
    <w:p w14:paraId="06DA69A5" w14:textId="77777777" w:rsidR="00C925B9" w:rsidRPr="001E4469" w:rsidRDefault="00AA72BD" w:rsidP="00C925B9">
      <w:pPr>
        <w:keepNext/>
      </w:pPr>
      <w:r w:rsidRPr="001E4469">
        <w:drawing>
          <wp:inline distT="0" distB="0" distL="0" distR="0" wp14:anchorId="13326ECD" wp14:editId="337F8070">
            <wp:extent cx="5524500" cy="3083132"/>
            <wp:effectExtent l="0" t="0" r="0" b="3175"/>
            <wp:docPr id="1428607840" name="Picture 142860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6986"/>
                    <a:stretch>
                      <a:fillRect/>
                    </a:stretch>
                  </pic:blipFill>
                  <pic:spPr bwMode="auto">
                    <a:xfrm>
                      <a:off x="0" y="0"/>
                      <a:ext cx="5524500" cy="3083132"/>
                    </a:xfrm>
                    <a:prstGeom prst="rect">
                      <a:avLst/>
                    </a:prstGeom>
                    <a:ln>
                      <a:noFill/>
                    </a:ln>
                    <a:extLst>
                      <a:ext uri="{53640926-AAD7-44D8-BBD7-CCE9431645EC}">
                        <a14:shadowObscured xmlns:a14="http://schemas.microsoft.com/office/drawing/2010/main"/>
                      </a:ext>
                    </a:extLst>
                  </pic:spPr>
                </pic:pic>
              </a:graphicData>
            </a:graphic>
          </wp:inline>
        </w:drawing>
      </w:r>
    </w:p>
    <w:p w14:paraId="47EC8602" w14:textId="5B9EFBDA" w:rsidR="00687062" w:rsidRPr="001E4469" w:rsidRDefault="00C925B9" w:rsidP="00582314">
      <w:pPr>
        <w:pStyle w:val="Caption"/>
        <w:jc w:val="center"/>
      </w:pPr>
      <w:bookmarkStart w:id="13" w:name="_Toc225095904"/>
      <w:r w:rsidRPr="001E4469">
        <w:t xml:space="preserve">Figure </w:t>
      </w:r>
      <w:r w:rsidRPr="001E4469">
        <w:fldChar w:fldCharType="begin"/>
      </w:r>
      <w:r w:rsidRPr="001E4469">
        <w:instrText xml:space="preserve"> SEQ Figure \* ARABIC </w:instrText>
      </w:r>
      <w:r w:rsidRPr="001E4469">
        <w:fldChar w:fldCharType="separate"/>
      </w:r>
      <w:r w:rsidR="005B0A00" w:rsidRPr="001E4469">
        <w:t>3</w:t>
      </w:r>
      <w:r w:rsidRPr="001E4469">
        <w:fldChar w:fldCharType="end"/>
      </w:r>
      <w:r w:rsidRPr="001E4469">
        <w:t xml:space="preserve"> Optimal Number of Clusters (elbow method &amp; silhouette analysis)</w:t>
      </w:r>
      <w:bookmarkEnd w:id="13"/>
    </w:p>
    <w:p w14:paraId="1570B3E3" w14:textId="46D3CCC7" w:rsidR="001A23DA" w:rsidRDefault="001E0664" w:rsidP="00E572FC">
      <w:pPr>
        <w:pStyle w:val="Heading2"/>
      </w:pPr>
      <w:bookmarkStart w:id="14" w:name="_Toc225096057"/>
      <w:r w:rsidRPr="001E4469">
        <w:lastRenderedPageBreak/>
        <w:t>4.2 Cluster Profiles</w:t>
      </w:r>
      <w:r w:rsidR="00A70394" w:rsidRPr="001E4469">
        <w:t xml:space="preserve"> (174)</w:t>
      </w:r>
      <w:bookmarkEnd w:id="14"/>
    </w:p>
    <w:p w14:paraId="7F50234C" w14:textId="4339675D" w:rsidR="00E572FC" w:rsidRPr="001E4469" w:rsidRDefault="0082040E" w:rsidP="007B5E18">
      <w:r w:rsidRPr="0082040E">
        <w:t>Table 2 profiles each cluster across key financial and behavioural variables, enabling direct comparison of risk characteristics. The Low-Risk Prime cluster has the lowest default rate (11.1%), with 87% of loans graded A</w:t>
      </w:r>
      <w:r w:rsidR="007B5E18">
        <w:t>-</w:t>
      </w:r>
      <w:r w:rsidRPr="0082040E">
        <w:t>B. The Mid-Risk Mainstream cluster is distinguished not by income</w:t>
      </w:r>
      <w:r w:rsidR="00EF74F7">
        <w:t>,</w:t>
      </w:r>
      <w:r w:rsidRPr="0082040E">
        <w:t xml:space="preserve"> which is above average</w:t>
      </w:r>
      <w:r w:rsidR="00EF74F7">
        <w:t>,</w:t>
      </w:r>
      <w:r w:rsidRPr="0082040E">
        <w:t xml:space="preserve"> but by elevated delinquency history (2.73 events per borrower), making past repayment behaviour the primary risk driver. The High-Income Leveraged cluster is counterintuitive</w:t>
      </w:r>
      <w:r w:rsidR="00EF74F7">
        <w:t>;</w:t>
      </w:r>
      <w:r w:rsidRPr="0082040E">
        <w:t xml:space="preserve"> despite the highest average income ($109,600), it carries a 20.7% default rate, explained by large loan sizes (~$22,000) and high utilisation suggesting overextension. The High-Risk Stressed cluster, comprising 45% of the portfolio, has the weakest profile across every dimension. Figure 4 provides a fuller view of the segmentation through standardised feature profiles and an income vs DTI scatter plot.</w:t>
      </w:r>
    </w:p>
    <w:p w14:paraId="4CB643BE" w14:textId="77777777" w:rsidR="00E572FC" w:rsidRPr="001E4469" w:rsidRDefault="00E572FC" w:rsidP="00944A21"/>
    <w:p w14:paraId="614685CB" w14:textId="78ABF2A6" w:rsidR="009F5C70" w:rsidRPr="001E4469" w:rsidRDefault="009F5C70" w:rsidP="009F5C70">
      <w:pPr>
        <w:pStyle w:val="Caption"/>
        <w:keepNext/>
        <w:jc w:val="center"/>
      </w:pPr>
      <w:bookmarkStart w:id="15" w:name="_Toc225095968"/>
      <w:r w:rsidRPr="001E4469">
        <w:t xml:space="preserve">Table </w:t>
      </w:r>
      <w:r w:rsidRPr="001E4469">
        <w:fldChar w:fldCharType="begin"/>
      </w:r>
      <w:r w:rsidRPr="001E4469">
        <w:instrText xml:space="preserve"> SEQ Table \* ARABIC </w:instrText>
      </w:r>
      <w:r w:rsidRPr="001E4469">
        <w:fldChar w:fldCharType="separate"/>
      </w:r>
      <w:r w:rsidR="004B6F27" w:rsidRPr="001E4469">
        <w:t>2</w:t>
      </w:r>
      <w:r w:rsidRPr="001E4469">
        <w:fldChar w:fldCharType="end"/>
      </w:r>
      <w:r w:rsidRPr="001E4469">
        <w:t xml:space="preserve"> Borrower cluster profiles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300"/>
        <w:gridCol w:w="1200"/>
        <w:gridCol w:w="900"/>
        <w:gridCol w:w="900"/>
        <w:gridCol w:w="1660"/>
      </w:tblGrid>
      <w:tr w:rsidR="00E572FC" w:rsidRPr="001E4469" w14:paraId="13B9354B" w14:textId="77777777" w:rsidTr="00BB011E">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96FEC1" w14:textId="77777777" w:rsidR="00E572FC" w:rsidRPr="001E4469" w:rsidRDefault="00E572FC" w:rsidP="00BB011E">
            <w:pPr>
              <w:jc w:val="center"/>
            </w:pPr>
            <w:r w:rsidRPr="001E4469">
              <w:rPr>
                <w:rFonts w:ascii="Arial" w:eastAsia="Arial" w:hAnsi="Arial" w:cs="Arial"/>
                <w:b/>
                <w:bCs/>
                <w:color w:val="FFFFFF"/>
                <w:sz w:val="20"/>
                <w:szCs w:val="20"/>
              </w:rPr>
              <w:t>Cluster</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B7FD90" w14:textId="77777777" w:rsidR="00E572FC" w:rsidRPr="001E4469" w:rsidRDefault="00E572FC" w:rsidP="00BB011E">
            <w:pPr>
              <w:jc w:val="center"/>
            </w:pPr>
            <w:r w:rsidRPr="001E4469">
              <w:rPr>
                <w:rFonts w:ascii="Arial" w:eastAsia="Arial" w:hAnsi="Arial" w:cs="Arial"/>
                <w:b/>
                <w:bCs/>
                <w:color w:val="FFFFFF"/>
                <w:sz w:val="20"/>
                <w:szCs w:val="20"/>
              </w:rPr>
              <w:t>Size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877A25" w14:textId="77777777" w:rsidR="00E572FC" w:rsidRPr="001E4469" w:rsidRDefault="00E572FC" w:rsidP="00BB011E">
            <w:pPr>
              <w:jc w:val="center"/>
            </w:pPr>
            <w:r w:rsidRPr="001E4469">
              <w:rPr>
                <w:rFonts w:ascii="Arial" w:eastAsia="Arial" w:hAnsi="Arial" w:cs="Arial"/>
                <w:b/>
                <w:bCs/>
                <w:color w:val="FFFFFF"/>
                <w:sz w:val="20"/>
                <w:szCs w:val="20"/>
              </w:rPr>
              <w:t>Default Rate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65A872" w14:textId="77777777" w:rsidR="00E572FC" w:rsidRPr="001E4469" w:rsidRDefault="00E572FC" w:rsidP="00BB011E">
            <w:pPr>
              <w:jc w:val="center"/>
            </w:pPr>
            <w:proofErr w:type="spellStart"/>
            <w:r w:rsidRPr="001E4469">
              <w:rPr>
                <w:rFonts w:ascii="Arial" w:eastAsia="Arial" w:hAnsi="Arial" w:cs="Arial"/>
                <w:b/>
                <w:bCs/>
                <w:color w:val="FFFFFF"/>
                <w:sz w:val="20"/>
                <w:szCs w:val="20"/>
              </w:rPr>
              <w:t>Avg</w:t>
            </w:r>
            <w:proofErr w:type="spellEnd"/>
            <w:r w:rsidRPr="001E4469">
              <w:rPr>
                <w:rFonts w:ascii="Arial" w:eastAsia="Arial" w:hAnsi="Arial" w:cs="Arial"/>
                <w:b/>
                <w:bCs/>
                <w:color w:val="FFFFFF"/>
                <w:sz w:val="20"/>
                <w:szCs w:val="20"/>
              </w:rPr>
              <w:t xml:space="preserve"> Income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FBF06F" w14:textId="77777777" w:rsidR="00E572FC" w:rsidRPr="001E4469" w:rsidRDefault="00E572FC" w:rsidP="00BB011E">
            <w:pPr>
              <w:jc w:val="center"/>
            </w:pPr>
            <w:proofErr w:type="spellStart"/>
            <w:r w:rsidRPr="001E4469">
              <w:rPr>
                <w:rFonts w:ascii="Arial" w:eastAsia="Arial" w:hAnsi="Arial" w:cs="Arial"/>
                <w:b/>
                <w:bCs/>
                <w:color w:val="FFFFFF"/>
                <w:sz w:val="20"/>
                <w:szCs w:val="20"/>
              </w:rPr>
              <w:t>Avg</w:t>
            </w:r>
            <w:proofErr w:type="spellEnd"/>
            <w:r w:rsidRPr="001E4469">
              <w:rPr>
                <w:rFonts w:ascii="Arial" w:eastAsia="Arial" w:hAnsi="Arial" w:cs="Arial"/>
                <w:b/>
                <w:bCs/>
                <w:color w:val="FFFFFF"/>
                <w:sz w:val="20"/>
                <w:szCs w:val="20"/>
              </w:rPr>
              <w:t xml:space="preserve"> DTI</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43B60D" w14:textId="77777777" w:rsidR="00E572FC" w:rsidRPr="001E4469" w:rsidRDefault="00E572FC" w:rsidP="00BB011E">
            <w:pPr>
              <w:jc w:val="center"/>
            </w:pPr>
            <w:proofErr w:type="spellStart"/>
            <w:r w:rsidRPr="001E4469">
              <w:rPr>
                <w:rFonts w:ascii="Arial" w:eastAsia="Arial" w:hAnsi="Arial" w:cs="Arial"/>
                <w:b/>
                <w:bCs/>
                <w:color w:val="FFFFFF"/>
                <w:sz w:val="20"/>
                <w:szCs w:val="20"/>
              </w:rPr>
              <w:t>Revol</w:t>
            </w:r>
            <w:proofErr w:type="spellEnd"/>
            <w:r w:rsidRPr="001E4469">
              <w:rPr>
                <w:rFonts w:ascii="Arial" w:eastAsia="Arial" w:hAnsi="Arial" w:cs="Arial"/>
                <w:b/>
                <w:bCs/>
                <w:color w:val="FFFFFF"/>
                <w:sz w:val="20"/>
                <w:szCs w:val="20"/>
              </w:rPr>
              <w:t xml:space="preserve"> Util</w:t>
            </w:r>
          </w:p>
        </w:tc>
        <w:tc>
          <w:tcPr>
            <w:tcW w:w="1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AC07EE" w14:textId="77777777" w:rsidR="00E572FC" w:rsidRPr="001E4469" w:rsidRDefault="00E572FC" w:rsidP="00BB011E">
            <w:pPr>
              <w:jc w:val="center"/>
            </w:pPr>
            <w:r w:rsidRPr="001E4469">
              <w:rPr>
                <w:rFonts w:ascii="Arial" w:eastAsia="Arial" w:hAnsi="Arial" w:cs="Arial"/>
                <w:b/>
                <w:bCs/>
                <w:color w:val="FFFFFF"/>
                <w:sz w:val="20"/>
                <w:szCs w:val="20"/>
              </w:rPr>
              <w:t>Key Characteristic</w:t>
            </w:r>
          </w:p>
        </w:tc>
      </w:tr>
      <w:tr w:rsidR="00E572FC" w:rsidRPr="001E4469" w14:paraId="5F167759" w14:textId="77777777" w:rsidTr="00BB011E">
        <w:tc>
          <w:tcPr>
            <w:tcW w:w="20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433E2D14" w14:textId="77777777" w:rsidR="00E572FC" w:rsidRPr="001E4469" w:rsidRDefault="00E572FC" w:rsidP="00BB011E">
            <w:r w:rsidRPr="001E4469">
              <w:rPr>
                <w:rFonts w:ascii="Arial" w:eastAsia="Arial" w:hAnsi="Arial" w:cs="Arial"/>
                <w:b/>
                <w:bCs/>
                <w:sz w:val="20"/>
                <w:szCs w:val="20"/>
              </w:rPr>
              <w:t>Low-Risk Prime</w:t>
            </w:r>
          </w:p>
        </w:tc>
        <w:tc>
          <w:tcPr>
            <w:tcW w:w="14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43541FE6" w14:textId="77777777" w:rsidR="00E572FC" w:rsidRPr="001E4469" w:rsidRDefault="00E572FC" w:rsidP="00BB011E">
            <w:pPr>
              <w:jc w:val="center"/>
            </w:pPr>
            <w:r w:rsidRPr="001E4469">
              <w:rPr>
                <w:rFonts w:ascii="Arial" w:eastAsia="Arial" w:hAnsi="Arial" w:cs="Arial"/>
                <w:sz w:val="20"/>
                <w:szCs w:val="20"/>
              </w:rPr>
              <w:t>12,088 (27.9%)</w:t>
            </w:r>
          </w:p>
        </w:tc>
        <w:tc>
          <w:tcPr>
            <w:tcW w:w="13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D5886E9" w14:textId="77777777" w:rsidR="00E572FC" w:rsidRPr="001E4469" w:rsidRDefault="00E572FC" w:rsidP="00BB011E">
            <w:pPr>
              <w:jc w:val="center"/>
            </w:pPr>
            <w:r w:rsidRPr="001E4469">
              <w:rPr>
                <w:rFonts w:ascii="Arial" w:eastAsia="Arial" w:hAnsi="Arial" w:cs="Arial"/>
                <w:sz w:val="20"/>
                <w:szCs w:val="20"/>
              </w:rPr>
              <w:t>11.1%</w:t>
            </w:r>
          </w:p>
        </w:tc>
        <w:tc>
          <w:tcPr>
            <w:tcW w:w="12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183C4FA5" w14:textId="77777777" w:rsidR="00E572FC" w:rsidRPr="001E4469" w:rsidRDefault="00E572FC" w:rsidP="00BB011E">
            <w:pPr>
              <w:jc w:val="center"/>
            </w:pPr>
            <w:r w:rsidRPr="001E4469">
              <w:rPr>
                <w:rFonts w:ascii="Arial" w:eastAsia="Arial" w:hAnsi="Arial" w:cs="Arial"/>
                <w:sz w:val="20"/>
                <w:szCs w:val="20"/>
              </w:rPr>
              <w:t>$65,600</w:t>
            </w:r>
          </w:p>
        </w:tc>
        <w:tc>
          <w:tcPr>
            <w:tcW w:w="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5CC82CDB" w14:textId="77777777" w:rsidR="00E572FC" w:rsidRPr="001E4469" w:rsidRDefault="00E572FC" w:rsidP="00BB011E">
            <w:pPr>
              <w:jc w:val="center"/>
            </w:pPr>
            <w:r w:rsidRPr="001E4469">
              <w:rPr>
                <w:rFonts w:ascii="Arial" w:eastAsia="Arial" w:hAnsi="Arial" w:cs="Arial"/>
                <w:sz w:val="20"/>
                <w:szCs w:val="20"/>
              </w:rPr>
              <w:t>12.1</w:t>
            </w:r>
          </w:p>
        </w:tc>
        <w:tc>
          <w:tcPr>
            <w:tcW w:w="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66DA514" w14:textId="77777777" w:rsidR="00E572FC" w:rsidRPr="001E4469" w:rsidRDefault="00E572FC" w:rsidP="00BB011E">
            <w:pPr>
              <w:jc w:val="center"/>
            </w:pPr>
            <w:r w:rsidRPr="001E4469">
              <w:rPr>
                <w:rFonts w:ascii="Arial" w:eastAsia="Arial" w:hAnsi="Arial" w:cs="Arial"/>
                <w:sz w:val="20"/>
                <w:szCs w:val="20"/>
              </w:rPr>
              <w:t>33.6%</w:t>
            </w:r>
          </w:p>
        </w:tc>
        <w:tc>
          <w:tcPr>
            <w:tcW w:w="16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3762A9BD" w14:textId="77777777" w:rsidR="00E572FC" w:rsidRPr="001E4469" w:rsidRDefault="00E572FC" w:rsidP="00BB011E">
            <w:pPr>
              <w:jc w:val="center"/>
            </w:pPr>
            <w:r w:rsidRPr="001E4469">
              <w:rPr>
                <w:rFonts w:ascii="Arial" w:eastAsia="Arial" w:hAnsi="Arial" w:cs="Arial"/>
                <w:sz w:val="20"/>
                <w:szCs w:val="20"/>
              </w:rPr>
              <w:t>87% Grade A–B; lowest risk</w:t>
            </w:r>
          </w:p>
        </w:tc>
      </w:tr>
      <w:tr w:rsidR="00E572FC" w:rsidRPr="001E4469" w14:paraId="24DAFE7C" w14:textId="77777777" w:rsidTr="00BB011E">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BED7A4E" w14:textId="77777777" w:rsidR="00E572FC" w:rsidRPr="001E4469" w:rsidRDefault="00E572FC" w:rsidP="00BB011E">
            <w:r w:rsidRPr="001E4469">
              <w:rPr>
                <w:rFonts w:ascii="Arial" w:eastAsia="Arial" w:hAnsi="Arial" w:cs="Arial"/>
                <w:b/>
                <w:bCs/>
                <w:sz w:val="20"/>
                <w:szCs w:val="20"/>
              </w:rPr>
              <w:t>Mid-Risk Mainstream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079EE88" w14:textId="77777777" w:rsidR="00E572FC" w:rsidRPr="001E4469" w:rsidRDefault="00E572FC" w:rsidP="00BB011E">
            <w:pPr>
              <w:jc w:val="center"/>
            </w:pPr>
            <w:r w:rsidRPr="001E4469">
              <w:rPr>
                <w:rFonts w:ascii="Arial" w:eastAsia="Arial" w:hAnsi="Arial" w:cs="Arial"/>
                <w:sz w:val="20"/>
                <w:szCs w:val="20"/>
              </w:rPr>
              <w:t>1,777 (4.1%)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0C0BC56" w14:textId="77777777" w:rsidR="00E572FC" w:rsidRPr="001E4469" w:rsidRDefault="00E572FC" w:rsidP="00BB011E">
            <w:pPr>
              <w:jc w:val="center"/>
            </w:pPr>
            <w:r w:rsidRPr="001E4469">
              <w:rPr>
                <w:rFonts w:ascii="Arial" w:eastAsia="Arial" w:hAnsi="Arial" w:cs="Arial"/>
                <w:sz w:val="20"/>
                <w:szCs w:val="20"/>
              </w:rPr>
              <w:t>18.6%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D05FC6B" w14:textId="77777777" w:rsidR="00E572FC" w:rsidRPr="001E4469" w:rsidRDefault="00E572FC" w:rsidP="00BB011E">
            <w:pPr>
              <w:jc w:val="center"/>
            </w:pPr>
            <w:r w:rsidRPr="001E4469">
              <w:rPr>
                <w:rFonts w:ascii="Arial" w:eastAsia="Arial" w:hAnsi="Arial" w:cs="Arial"/>
                <w:sz w:val="20"/>
                <w:szCs w:val="20"/>
              </w:rPr>
              <w:t>$80,900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9B17229" w14:textId="77777777" w:rsidR="00E572FC" w:rsidRPr="001E4469" w:rsidRDefault="00E572FC" w:rsidP="00BB011E">
            <w:pPr>
              <w:jc w:val="center"/>
            </w:pPr>
            <w:r w:rsidRPr="001E4469">
              <w:rPr>
                <w:rFonts w:ascii="Arial" w:eastAsia="Arial" w:hAnsi="Arial" w:cs="Arial"/>
                <w:sz w:val="20"/>
                <w:szCs w:val="20"/>
              </w:rPr>
              <w:t>17.1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77547D8" w14:textId="77777777" w:rsidR="00E572FC" w:rsidRPr="001E4469" w:rsidRDefault="00E572FC" w:rsidP="00BB011E">
            <w:pPr>
              <w:jc w:val="center"/>
            </w:pPr>
            <w:r w:rsidRPr="001E4469">
              <w:rPr>
                <w:rFonts w:ascii="Arial" w:eastAsia="Arial" w:hAnsi="Arial" w:cs="Arial"/>
                <w:sz w:val="20"/>
                <w:szCs w:val="20"/>
              </w:rPr>
              <w:t>58.8%</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951DEBF" w14:textId="77777777" w:rsidR="00E572FC" w:rsidRPr="001E4469" w:rsidRDefault="00E572FC" w:rsidP="00BB011E">
            <w:pPr>
              <w:jc w:val="center"/>
            </w:pPr>
            <w:r w:rsidRPr="001E4469">
              <w:rPr>
                <w:rFonts w:ascii="Arial" w:eastAsia="Arial" w:hAnsi="Arial" w:cs="Arial"/>
                <w:sz w:val="20"/>
                <w:szCs w:val="20"/>
              </w:rPr>
              <w:t xml:space="preserve">High delinquency history (2.73 </w:t>
            </w:r>
            <w:proofErr w:type="spellStart"/>
            <w:r w:rsidRPr="001E4469">
              <w:rPr>
                <w:rFonts w:ascii="Arial" w:eastAsia="Arial" w:hAnsi="Arial" w:cs="Arial"/>
                <w:sz w:val="20"/>
                <w:szCs w:val="20"/>
              </w:rPr>
              <w:t>avg</w:t>
            </w:r>
            <w:proofErr w:type="spellEnd"/>
            <w:r w:rsidRPr="001E4469">
              <w:rPr>
                <w:rFonts w:ascii="Arial" w:eastAsia="Arial" w:hAnsi="Arial" w:cs="Arial"/>
                <w:sz w:val="20"/>
                <w:szCs w:val="20"/>
              </w:rPr>
              <w:t>)</w:t>
            </w:r>
          </w:p>
        </w:tc>
      </w:tr>
      <w:tr w:rsidR="00E572FC" w:rsidRPr="001E4469" w14:paraId="41699919" w14:textId="77777777" w:rsidTr="00BB011E">
        <w:tc>
          <w:tcPr>
            <w:tcW w:w="20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0619E43" w14:textId="77777777" w:rsidR="00E572FC" w:rsidRPr="001E4469" w:rsidRDefault="00E572FC" w:rsidP="00BB011E">
            <w:r w:rsidRPr="001E4469">
              <w:rPr>
                <w:rFonts w:ascii="Arial" w:eastAsia="Arial" w:hAnsi="Arial" w:cs="Arial"/>
                <w:b/>
                <w:bCs/>
                <w:sz w:val="20"/>
                <w:szCs w:val="20"/>
              </w:rPr>
              <w:t>High-Income Leveraged</w:t>
            </w:r>
          </w:p>
        </w:tc>
        <w:tc>
          <w:tcPr>
            <w:tcW w:w="14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3C012132" w14:textId="77777777" w:rsidR="00E572FC" w:rsidRPr="001E4469" w:rsidRDefault="00E572FC" w:rsidP="00BB011E">
            <w:pPr>
              <w:jc w:val="center"/>
            </w:pPr>
            <w:r w:rsidRPr="001E4469">
              <w:rPr>
                <w:rFonts w:ascii="Arial" w:eastAsia="Arial" w:hAnsi="Arial" w:cs="Arial"/>
                <w:sz w:val="20"/>
                <w:szCs w:val="20"/>
              </w:rPr>
              <w:t>9,885 (22.8%)</w:t>
            </w:r>
          </w:p>
        </w:tc>
        <w:tc>
          <w:tcPr>
            <w:tcW w:w="13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12633F21" w14:textId="77777777" w:rsidR="00E572FC" w:rsidRPr="001E4469" w:rsidRDefault="00E572FC" w:rsidP="00BB011E">
            <w:pPr>
              <w:jc w:val="center"/>
            </w:pPr>
            <w:r w:rsidRPr="001E4469">
              <w:rPr>
                <w:rFonts w:ascii="Arial" w:eastAsia="Arial" w:hAnsi="Arial" w:cs="Arial"/>
                <w:sz w:val="20"/>
                <w:szCs w:val="20"/>
              </w:rPr>
              <w:t>20.7%</w:t>
            </w:r>
          </w:p>
        </w:tc>
        <w:tc>
          <w:tcPr>
            <w:tcW w:w="12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4798D30" w14:textId="77777777" w:rsidR="00E572FC" w:rsidRPr="001E4469" w:rsidRDefault="00E572FC" w:rsidP="00BB011E">
            <w:pPr>
              <w:jc w:val="center"/>
            </w:pPr>
            <w:r w:rsidRPr="001E4469">
              <w:rPr>
                <w:rFonts w:ascii="Arial" w:eastAsia="Arial" w:hAnsi="Arial" w:cs="Arial"/>
                <w:sz w:val="20"/>
                <w:szCs w:val="20"/>
              </w:rPr>
              <w:t>$109,600</w:t>
            </w:r>
          </w:p>
        </w:tc>
        <w:tc>
          <w:tcPr>
            <w:tcW w:w="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462A26C1" w14:textId="77777777" w:rsidR="00E572FC" w:rsidRPr="001E4469" w:rsidRDefault="00E572FC" w:rsidP="00BB011E">
            <w:pPr>
              <w:jc w:val="center"/>
            </w:pPr>
            <w:r w:rsidRPr="001E4469">
              <w:rPr>
                <w:rFonts w:ascii="Arial" w:eastAsia="Arial" w:hAnsi="Arial" w:cs="Arial"/>
                <w:sz w:val="20"/>
                <w:szCs w:val="20"/>
              </w:rPr>
              <w:t>18.5</w:t>
            </w:r>
          </w:p>
        </w:tc>
        <w:tc>
          <w:tcPr>
            <w:tcW w:w="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5A1D9C6B" w14:textId="77777777" w:rsidR="00E572FC" w:rsidRPr="001E4469" w:rsidRDefault="00E572FC" w:rsidP="00BB011E">
            <w:pPr>
              <w:jc w:val="center"/>
            </w:pPr>
            <w:r w:rsidRPr="001E4469">
              <w:rPr>
                <w:rFonts w:ascii="Arial" w:eastAsia="Arial" w:hAnsi="Arial" w:cs="Arial"/>
                <w:sz w:val="20"/>
                <w:szCs w:val="20"/>
              </w:rPr>
              <w:t>65.9%</w:t>
            </w:r>
          </w:p>
        </w:tc>
        <w:tc>
          <w:tcPr>
            <w:tcW w:w="16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3D069AB3" w14:textId="77777777" w:rsidR="00E572FC" w:rsidRPr="001E4469" w:rsidRDefault="00E572FC" w:rsidP="00BB011E">
            <w:pPr>
              <w:jc w:val="center"/>
            </w:pPr>
            <w:r w:rsidRPr="001E4469">
              <w:rPr>
                <w:rFonts w:ascii="Arial" w:eastAsia="Arial" w:hAnsi="Arial" w:cs="Arial"/>
                <w:sz w:val="20"/>
                <w:szCs w:val="20"/>
              </w:rPr>
              <w:t>Highest income; largest loans ($22k)</w:t>
            </w:r>
          </w:p>
        </w:tc>
      </w:tr>
      <w:tr w:rsidR="00E572FC" w:rsidRPr="001E4469" w14:paraId="7F588003" w14:textId="77777777" w:rsidTr="00BB011E">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B232648" w14:textId="77777777" w:rsidR="00E572FC" w:rsidRPr="001E4469" w:rsidRDefault="00E572FC" w:rsidP="00BB011E">
            <w:r w:rsidRPr="001E4469">
              <w:rPr>
                <w:rFonts w:ascii="Arial" w:eastAsia="Arial" w:hAnsi="Arial" w:cs="Arial"/>
                <w:b/>
                <w:bCs/>
                <w:sz w:val="20"/>
                <w:szCs w:val="20"/>
              </w:rPr>
              <w:t>High-Risk Stressed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E805599" w14:textId="77777777" w:rsidR="00E572FC" w:rsidRPr="001E4469" w:rsidRDefault="00E572FC" w:rsidP="00BB011E">
            <w:pPr>
              <w:jc w:val="center"/>
            </w:pPr>
            <w:r w:rsidRPr="001E4469">
              <w:rPr>
                <w:rFonts w:ascii="Arial" w:eastAsia="Arial" w:hAnsi="Arial" w:cs="Arial"/>
                <w:sz w:val="20"/>
                <w:szCs w:val="20"/>
              </w:rPr>
              <w:t>19,629 (45.2%)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C60A652" w14:textId="77777777" w:rsidR="00E572FC" w:rsidRPr="001E4469" w:rsidRDefault="00E572FC" w:rsidP="00BB011E">
            <w:pPr>
              <w:jc w:val="center"/>
            </w:pPr>
            <w:r w:rsidRPr="001E4469">
              <w:rPr>
                <w:rFonts w:ascii="Arial" w:eastAsia="Arial" w:hAnsi="Arial" w:cs="Arial"/>
                <w:sz w:val="20"/>
                <w:szCs w:val="20"/>
              </w:rPr>
              <w:t>20.9%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2D98C88" w14:textId="77777777" w:rsidR="00E572FC" w:rsidRPr="001E4469" w:rsidRDefault="00E572FC" w:rsidP="00BB011E">
            <w:pPr>
              <w:jc w:val="center"/>
            </w:pPr>
            <w:r w:rsidRPr="001E4469">
              <w:rPr>
                <w:rFonts w:ascii="Arial" w:eastAsia="Arial" w:hAnsi="Arial" w:cs="Arial"/>
                <w:sz w:val="20"/>
                <w:szCs w:val="20"/>
              </w:rPr>
              <w:t>$52,200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EF0F0E3" w14:textId="77777777" w:rsidR="00E572FC" w:rsidRPr="001E4469" w:rsidRDefault="00E572FC" w:rsidP="00BB011E">
            <w:pPr>
              <w:jc w:val="center"/>
            </w:pPr>
            <w:r w:rsidRPr="001E4469">
              <w:rPr>
                <w:rFonts w:ascii="Arial" w:eastAsia="Arial" w:hAnsi="Arial" w:cs="Arial"/>
                <w:sz w:val="20"/>
                <w:szCs w:val="20"/>
              </w:rPr>
              <w:t>19.8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55DFC6" w14:textId="77777777" w:rsidR="00E572FC" w:rsidRPr="001E4469" w:rsidRDefault="00E572FC" w:rsidP="00BB011E">
            <w:pPr>
              <w:jc w:val="center"/>
            </w:pPr>
            <w:r w:rsidRPr="001E4469">
              <w:rPr>
                <w:rFonts w:ascii="Arial" w:eastAsia="Arial" w:hAnsi="Arial" w:cs="Arial"/>
                <w:sz w:val="20"/>
                <w:szCs w:val="20"/>
              </w:rPr>
              <w:t>69.7%</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5768852" w14:textId="77777777" w:rsidR="00E572FC" w:rsidRPr="001E4469" w:rsidRDefault="00E572FC" w:rsidP="00BB011E">
            <w:pPr>
              <w:jc w:val="center"/>
            </w:pPr>
            <w:r w:rsidRPr="001E4469">
              <w:rPr>
                <w:rFonts w:ascii="Arial" w:eastAsia="Arial" w:hAnsi="Arial" w:cs="Arial"/>
                <w:sz w:val="20"/>
                <w:szCs w:val="20"/>
              </w:rPr>
              <w:t>Lowest income; highest DTI and utilisation</w:t>
            </w:r>
          </w:p>
        </w:tc>
      </w:tr>
    </w:tbl>
    <w:p w14:paraId="2B243877" w14:textId="77777777" w:rsidR="00E572FC" w:rsidRPr="001E4469" w:rsidRDefault="00E572FC" w:rsidP="00944A21"/>
    <w:p w14:paraId="6C687B4E" w14:textId="77777777" w:rsidR="00516446" w:rsidRPr="001E4469" w:rsidRDefault="00E572FC" w:rsidP="00516446">
      <w:pPr>
        <w:keepNext/>
        <w:jc w:val="center"/>
      </w:pPr>
      <w:r w:rsidRPr="001E4469">
        <w:lastRenderedPageBreak/>
        <w:drawing>
          <wp:inline distT="0" distB="0" distL="0" distR="0" wp14:anchorId="2836E990" wp14:editId="7F26DD7A">
            <wp:extent cx="5680940" cy="3904796"/>
            <wp:effectExtent l="0" t="0" r="0" b="635"/>
            <wp:docPr id="870815445" name="Picture 87081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3237"/>
                    <a:stretch>
                      <a:fillRect/>
                    </a:stretch>
                  </pic:blipFill>
                  <pic:spPr bwMode="auto">
                    <a:xfrm>
                      <a:off x="0" y="0"/>
                      <a:ext cx="5706298" cy="3922226"/>
                    </a:xfrm>
                    <a:prstGeom prst="rect">
                      <a:avLst/>
                    </a:prstGeom>
                    <a:ln>
                      <a:noFill/>
                    </a:ln>
                    <a:extLst>
                      <a:ext uri="{53640926-AAD7-44D8-BBD7-CCE9431645EC}">
                        <a14:shadowObscured xmlns:a14="http://schemas.microsoft.com/office/drawing/2010/main"/>
                      </a:ext>
                    </a:extLst>
                  </pic:spPr>
                </pic:pic>
              </a:graphicData>
            </a:graphic>
          </wp:inline>
        </w:drawing>
      </w:r>
    </w:p>
    <w:p w14:paraId="18A3DF92" w14:textId="5A12C1EA" w:rsidR="007148A1" w:rsidRPr="001E4469" w:rsidRDefault="00516446" w:rsidP="00516446">
      <w:pPr>
        <w:pStyle w:val="Caption"/>
        <w:jc w:val="center"/>
      </w:pPr>
      <w:bookmarkStart w:id="16" w:name="_Toc225095905"/>
      <w:r w:rsidRPr="001E4469">
        <w:t xml:space="preserve">Figure </w:t>
      </w:r>
      <w:r w:rsidRPr="001E4469">
        <w:fldChar w:fldCharType="begin"/>
      </w:r>
      <w:r w:rsidRPr="001E4469">
        <w:instrText xml:space="preserve"> SEQ Figure \* ARABIC </w:instrText>
      </w:r>
      <w:r w:rsidRPr="001E4469">
        <w:fldChar w:fldCharType="separate"/>
      </w:r>
      <w:r w:rsidR="005B0A00" w:rsidRPr="001E4469">
        <w:t>4</w:t>
      </w:r>
      <w:r w:rsidRPr="001E4469">
        <w:fldChar w:fldCharType="end"/>
      </w:r>
      <w:r w:rsidRPr="001E4469">
        <w:t xml:space="preserve"> Borrower Segmentation — Feature Profiles (heatmap), Default Rates, Cluster Sizes, and Income vs DTI scatter.</w:t>
      </w:r>
      <w:bookmarkEnd w:id="16"/>
    </w:p>
    <w:p w14:paraId="0CAB7C73" w14:textId="77777777" w:rsidR="00431FDD" w:rsidRPr="001E4469" w:rsidRDefault="00431FDD" w:rsidP="00431FDD"/>
    <w:p w14:paraId="7AA04968" w14:textId="6001A72C" w:rsidR="00431FDD" w:rsidRPr="001E4469" w:rsidRDefault="00431FDD" w:rsidP="00431FDD">
      <w:pPr>
        <w:pStyle w:val="Heading2"/>
      </w:pPr>
      <w:bookmarkStart w:id="17" w:name="_Toc225096058"/>
      <w:r w:rsidRPr="001E4469">
        <w:t xml:space="preserve">4.3 Policy Performance by Cluster </w:t>
      </w:r>
      <w:r w:rsidR="00430B9B" w:rsidRPr="001E4469">
        <w:t>(</w:t>
      </w:r>
      <w:r w:rsidR="00A70394" w:rsidRPr="001E4469">
        <w:t>344</w:t>
      </w:r>
      <w:r w:rsidR="00430B9B" w:rsidRPr="001E4469">
        <w:t>)</w:t>
      </w:r>
      <w:bookmarkEnd w:id="17"/>
    </w:p>
    <w:p w14:paraId="58D1EBFB" w14:textId="3AF78AB0" w:rsidR="00C5367D" w:rsidRPr="001E4469" w:rsidRDefault="005476C7" w:rsidP="00C5367D">
      <w:r>
        <w:t xml:space="preserve">Table 3 breaks down policy performance within each cluster, revealing how the aggregate +1.9 pp default </w:t>
      </w:r>
      <w:r w:rsidR="00E120D0">
        <w:t xml:space="preserve">rate increase masks a seven percentage-point spread in marginal Grade D default rates; </w:t>
      </w:r>
      <w:r w:rsidR="004C19C7">
        <w:t xml:space="preserve">from </w:t>
      </w:r>
      <w:r w:rsidR="00F1703F">
        <w:t>20.8% in the Low-Risk cluster to 28.0% in the High-Risk.</w:t>
      </w:r>
    </w:p>
    <w:p w14:paraId="200F2208" w14:textId="7DC10356" w:rsidR="00F85C9A" w:rsidRPr="001E4469" w:rsidRDefault="00F85C9A" w:rsidP="00F85C9A">
      <w:pPr>
        <w:pStyle w:val="Caption"/>
        <w:keepNext/>
        <w:jc w:val="center"/>
      </w:pPr>
      <w:bookmarkStart w:id="18" w:name="_Toc225095969"/>
      <w:r w:rsidRPr="001E4469">
        <w:t xml:space="preserve">Table </w:t>
      </w:r>
      <w:r w:rsidRPr="001E4469">
        <w:fldChar w:fldCharType="begin"/>
      </w:r>
      <w:r w:rsidRPr="001E4469">
        <w:instrText xml:space="preserve"> SEQ Table \* ARABIC </w:instrText>
      </w:r>
      <w:r w:rsidRPr="001E4469">
        <w:fldChar w:fldCharType="separate"/>
      </w:r>
      <w:r w:rsidR="004B6F27" w:rsidRPr="001E4469">
        <w:t>3</w:t>
      </w:r>
      <w:r w:rsidRPr="001E4469">
        <w:fldChar w:fldCharType="end"/>
      </w:r>
      <w:r w:rsidRPr="001E4469">
        <w:t xml:space="preserve"> Policy performance within each borrower cluster</w:t>
      </w:r>
      <w:bookmarkEnd w:id="1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900"/>
        <w:gridCol w:w="2060"/>
      </w:tblGrid>
      <w:tr w:rsidR="008528B6" w:rsidRPr="001E4469" w14:paraId="1BE64BBB" w14:textId="77777777" w:rsidTr="00F85C9A">
        <w:trPr>
          <w:tblHeade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CFB120" w14:textId="77777777" w:rsidR="008528B6" w:rsidRPr="001E4469" w:rsidRDefault="008528B6" w:rsidP="00BB011E">
            <w:pPr>
              <w:jc w:val="center"/>
            </w:pPr>
            <w:r w:rsidRPr="001E4469">
              <w:rPr>
                <w:rFonts w:ascii="Arial" w:eastAsia="Arial" w:hAnsi="Arial" w:cs="Arial"/>
                <w:b/>
                <w:bCs/>
                <w:color w:val="FFFFFF"/>
                <w:sz w:val="20"/>
                <w:szCs w:val="20"/>
              </w:rPr>
              <w:t>Cluster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CAF71D" w14:textId="77777777" w:rsidR="008528B6" w:rsidRPr="001E4469" w:rsidRDefault="008528B6" w:rsidP="00BB011E">
            <w:pPr>
              <w:jc w:val="center"/>
            </w:pPr>
            <w:r w:rsidRPr="001E4469">
              <w:rPr>
                <w:rFonts w:ascii="Arial" w:eastAsia="Arial" w:hAnsi="Arial" w:cs="Arial"/>
                <w:b/>
                <w:bCs/>
                <w:color w:val="FFFFFF"/>
                <w:sz w:val="20"/>
                <w:szCs w:val="20"/>
              </w:rPr>
              <w:t>Policy A DR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76C8E3" w14:textId="77777777" w:rsidR="008528B6" w:rsidRPr="001E4469" w:rsidRDefault="008528B6" w:rsidP="00BB011E">
            <w:pPr>
              <w:jc w:val="center"/>
            </w:pPr>
            <w:r w:rsidRPr="001E4469">
              <w:rPr>
                <w:rFonts w:ascii="Arial" w:eastAsia="Arial" w:hAnsi="Arial" w:cs="Arial"/>
                <w:b/>
                <w:bCs/>
                <w:color w:val="FFFFFF"/>
                <w:sz w:val="20"/>
                <w:szCs w:val="20"/>
              </w:rPr>
              <w:t>Policy B DR</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056C88" w14:textId="77777777" w:rsidR="008528B6" w:rsidRPr="001E4469" w:rsidRDefault="008528B6" w:rsidP="00BB011E">
            <w:pPr>
              <w:jc w:val="center"/>
            </w:pPr>
            <w:r w:rsidRPr="001E4469">
              <w:rPr>
                <w:rFonts w:ascii="Arial" w:eastAsia="Arial" w:hAnsi="Arial" w:cs="Arial"/>
                <w:b/>
                <w:bCs/>
                <w:color w:val="FFFFFF"/>
                <w:sz w:val="20"/>
                <w:szCs w:val="20"/>
              </w:rPr>
              <w:t>Marginal D Loans</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215C7E" w14:textId="77777777" w:rsidR="008528B6" w:rsidRPr="001E4469" w:rsidRDefault="008528B6" w:rsidP="00BB011E">
            <w:pPr>
              <w:jc w:val="center"/>
            </w:pPr>
            <w:r w:rsidRPr="001E4469">
              <w:rPr>
                <w:rFonts w:ascii="Arial" w:eastAsia="Arial" w:hAnsi="Arial" w:cs="Arial"/>
                <w:b/>
                <w:bCs/>
                <w:color w:val="FFFFFF"/>
                <w:sz w:val="20"/>
                <w:szCs w:val="20"/>
              </w:rPr>
              <w:t>Marginal D Default Rate</w:t>
            </w:r>
          </w:p>
        </w:tc>
      </w:tr>
      <w:tr w:rsidR="008528B6" w:rsidRPr="001E4469" w14:paraId="1B858403" w14:textId="77777777" w:rsidTr="00F85C9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6CF40572" w14:textId="77777777" w:rsidR="008528B6" w:rsidRPr="001E4469" w:rsidRDefault="008528B6" w:rsidP="00BB011E">
            <w:r w:rsidRPr="001E4469">
              <w:rPr>
                <w:rFonts w:ascii="Arial" w:eastAsia="Arial" w:hAnsi="Arial" w:cs="Arial"/>
                <w:b/>
                <w:bCs/>
                <w:sz w:val="20"/>
                <w:szCs w:val="20"/>
              </w:rPr>
              <w:t>Low-Risk Prime</w:t>
            </w:r>
          </w:p>
        </w:tc>
        <w:tc>
          <w:tcPr>
            <w:tcW w:w="16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6881CF50" w14:textId="77777777" w:rsidR="008528B6" w:rsidRPr="001E4469" w:rsidRDefault="008528B6" w:rsidP="00BB011E">
            <w:pPr>
              <w:jc w:val="center"/>
            </w:pPr>
            <w:r w:rsidRPr="001E4469">
              <w:rPr>
                <w:rFonts w:ascii="Arial" w:eastAsia="Arial" w:hAnsi="Arial" w:cs="Arial"/>
                <w:sz w:val="20"/>
                <w:szCs w:val="20"/>
              </w:rPr>
              <w:t>10.8%</w:t>
            </w:r>
          </w:p>
        </w:tc>
        <w:tc>
          <w:tcPr>
            <w:tcW w:w="16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56FB154A" w14:textId="77777777" w:rsidR="008528B6" w:rsidRPr="001E4469" w:rsidRDefault="008528B6" w:rsidP="00BB011E">
            <w:pPr>
              <w:jc w:val="center"/>
            </w:pPr>
            <w:r w:rsidRPr="001E4469">
              <w:rPr>
                <w:rFonts w:ascii="Arial" w:eastAsia="Arial" w:hAnsi="Arial" w:cs="Arial"/>
                <w:sz w:val="20"/>
                <w:szCs w:val="20"/>
              </w:rPr>
              <w:t>11.0%</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796CA0EE" w14:textId="77777777" w:rsidR="008528B6" w:rsidRPr="001E4469" w:rsidRDefault="008528B6" w:rsidP="00BB011E">
            <w:pPr>
              <w:jc w:val="center"/>
            </w:pPr>
            <w:r w:rsidRPr="001E4469">
              <w:rPr>
                <w:rFonts w:ascii="Arial" w:eastAsia="Arial" w:hAnsi="Arial" w:cs="Arial"/>
                <w:sz w:val="20"/>
                <w:szCs w:val="20"/>
              </w:rPr>
              <w:t>245</w:t>
            </w:r>
          </w:p>
        </w:tc>
        <w:tc>
          <w:tcPr>
            <w:tcW w:w="20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5766BDA0" w14:textId="77777777" w:rsidR="008528B6" w:rsidRPr="001E4469" w:rsidRDefault="008528B6" w:rsidP="00BB011E">
            <w:pPr>
              <w:jc w:val="center"/>
            </w:pPr>
            <w:r w:rsidRPr="001E4469">
              <w:rPr>
                <w:rFonts w:ascii="Arial" w:eastAsia="Arial" w:hAnsi="Arial" w:cs="Arial"/>
                <w:sz w:val="20"/>
                <w:szCs w:val="20"/>
              </w:rPr>
              <w:t>20.8%</w:t>
            </w:r>
          </w:p>
        </w:tc>
      </w:tr>
      <w:tr w:rsidR="008528B6" w:rsidRPr="001E4469" w14:paraId="46A88AE8" w14:textId="77777777" w:rsidTr="00F85C9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C26153E" w14:textId="77777777" w:rsidR="008528B6" w:rsidRPr="001E4469" w:rsidRDefault="008528B6" w:rsidP="00BB011E">
            <w:r w:rsidRPr="001E4469">
              <w:rPr>
                <w:rFonts w:ascii="Arial" w:eastAsia="Arial" w:hAnsi="Arial" w:cs="Arial"/>
                <w:b/>
                <w:bCs/>
                <w:sz w:val="20"/>
                <w:szCs w:val="20"/>
              </w:rPr>
              <w:t>Mid-Risk Mainstream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C09E789" w14:textId="77777777" w:rsidR="008528B6" w:rsidRPr="001E4469" w:rsidRDefault="008528B6" w:rsidP="00BB011E">
            <w:pPr>
              <w:jc w:val="center"/>
            </w:pPr>
            <w:r w:rsidRPr="001E4469">
              <w:rPr>
                <w:rFonts w:ascii="Arial" w:eastAsia="Arial" w:hAnsi="Arial" w:cs="Arial"/>
                <w:sz w:val="20"/>
                <w:szCs w:val="20"/>
              </w:rPr>
              <w:t>13.5%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304178E" w14:textId="77777777" w:rsidR="008528B6" w:rsidRPr="001E4469" w:rsidRDefault="008528B6" w:rsidP="00BB011E">
            <w:pPr>
              <w:jc w:val="center"/>
            </w:pPr>
            <w:r w:rsidRPr="001E4469">
              <w:rPr>
                <w:rFonts w:ascii="Arial" w:eastAsia="Arial" w:hAnsi="Arial" w:cs="Arial"/>
                <w:sz w:val="20"/>
                <w:szCs w:val="20"/>
              </w:rPr>
              <w:t>16.4%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F08A9E7" w14:textId="77777777" w:rsidR="008528B6" w:rsidRPr="001E4469" w:rsidRDefault="008528B6" w:rsidP="00BB011E">
            <w:pPr>
              <w:jc w:val="center"/>
            </w:pPr>
            <w:r w:rsidRPr="001E4469">
              <w:rPr>
                <w:rFonts w:ascii="Arial" w:eastAsia="Arial" w:hAnsi="Arial" w:cs="Arial"/>
                <w:sz w:val="20"/>
                <w:szCs w:val="20"/>
              </w:rPr>
              <w:t>328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A6B04EC" w14:textId="77777777" w:rsidR="008528B6" w:rsidRPr="001E4469" w:rsidRDefault="008528B6" w:rsidP="00BB011E">
            <w:pPr>
              <w:jc w:val="center"/>
            </w:pPr>
            <w:r w:rsidRPr="001E4469">
              <w:rPr>
                <w:rFonts w:ascii="Arial" w:eastAsia="Arial" w:hAnsi="Arial" w:cs="Arial"/>
                <w:sz w:val="20"/>
                <w:szCs w:val="20"/>
              </w:rPr>
              <w:t>27.7%</w:t>
            </w:r>
          </w:p>
        </w:tc>
      </w:tr>
      <w:tr w:rsidR="008528B6" w:rsidRPr="001E4469" w14:paraId="45BAF642" w14:textId="77777777" w:rsidTr="00F85C9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4AE5B076" w14:textId="77777777" w:rsidR="008528B6" w:rsidRPr="001E4469" w:rsidRDefault="008528B6" w:rsidP="00BB011E">
            <w:r w:rsidRPr="001E4469">
              <w:rPr>
                <w:rFonts w:ascii="Arial" w:eastAsia="Arial" w:hAnsi="Arial" w:cs="Arial"/>
                <w:b/>
                <w:bCs/>
                <w:sz w:val="20"/>
                <w:szCs w:val="20"/>
              </w:rPr>
              <w:t>High-Income Leveraged</w:t>
            </w:r>
          </w:p>
        </w:tc>
        <w:tc>
          <w:tcPr>
            <w:tcW w:w="16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68AF71F6" w14:textId="77777777" w:rsidR="008528B6" w:rsidRPr="001E4469" w:rsidRDefault="008528B6" w:rsidP="00BB011E">
            <w:pPr>
              <w:jc w:val="center"/>
            </w:pPr>
            <w:r w:rsidRPr="001E4469">
              <w:rPr>
                <w:rFonts w:ascii="Arial" w:eastAsia="Arial" w:hAnsi="Arial" w:cs="Arial"/>
                <w:sz w:val="20"/>
                <w:szCs w:val="20"/>
              </w:rPr>
              <w:t>14.3%</w:t>
            </w:r>
          </w:p>
        </w:tc>
        <w:tc>
          <w:tcPr>
            <w:tcW w:w="16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2DB3D511" w14:textId="77777777" w:rsidR="008528B6" w:rsidRPr="001E4469" w:rsidRDefault="008528B6" w:rsidP="00BB011E">
            <w:pPr>
              <w:jc w:val="center"/>
            </w:pPr>
            <w:r w:rsidRPr="001E4469">
              <w:rPr>
                <w:rFonts w:ascii="Arial" w:eastAsia="Arial" w:hAnsi="Arial" w:cs="Arial"/>
                <w:sz w:val="20"/>
                <w:szCs w:val="20"/>
              </w:rPr>
              <w:t>16.7%</w:t>
            </w:r>
          </w:p>
        </w:tc>
        <w:tc>
          <w:tcPr>
            <w:tcW w:w="19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6701B9D3" w14:textId="77777777" w:rsidR="008528B6" w:rsidRPr="001E4469" w:rsidRDefault="008528B6" w:rsidP="00BB011E">
            <w:pPr>
              <w:jc w:val="center"/>
            </w:pPr>
            <w:r w:rsidRPr="001E4469">
              <w:rPr>
                <w:rFonts w:ascii="Arial" w:eastAsia="Arial" w:hAnsi="Arial" w:cs="Arial"/>
                <w:sz w:val="20"/>
                <w:szCs w:val="20"/>
              </w:rPr>
              <w:t>1,673</w:t>
            </w:r>
          </w:p>
        </w:tc>
        <w:tc>
          <w:tcPr>
            <w:tcW w:w="20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4842CCE3" w14:textId="77777777" w:rsidR="008528B6" w:rsidRPr="001E4469" w:rsidRDefault="008528B6" w:rsidP="00BB011E">
            <w:pPr>
              <w:jc w:val="center"/>
            </w:pPr>
            <w:r w:rsidRPr="001E4469">
              <w:rPr>
                <w:rFonts w:ascii="Arial" w:eastAsia="Arial" w:hAnsi="Arial" w:cs="Arial"/>
                <w:sz w:val="20"/>
                <w:szCs w:val="20"/>
              </w:rPr>
              <w:t>25.8%</w:t>
            </w:r>
          </w:p>
        </w:tc>
      </w:tr>
      <w:tr w:rsidR="008528B6" w:rsidRPr="001E4469" w14:paraId="229A5186" w14:textId="77777777" w:rsidTr="00F85C9A">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0861AFE" w14:textId="77777777" w:rsidR="008528B6" w:rsidRPr="001E4469" w:rsidRDefault="008528B6" w:rsidP="00BB011E">
            <w:r w:rsidRPr="001E4469">
              <w:rPr>
                <w:rFonts w:ascii="Arial" w:eastAsia="Arial" w:hAnsi="Arial" w:cs="Arial"/>
                <w:b/>
                <w:bCs/>
                <w:sz w:val="20"/>
                <w:szCs w:val="20"/>
              </w:rPr>
              <w:lastRenderedPageBreak/>
              <w:t>High-Risk Stressed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C65406" w14:textId="77777777" w:rsidR="008528B6" w:rsidRPr="001E4469" w:rsidRDefault="008528B6" w:rsidP="00BB011E">
            <w:pPr>
              <w:jc w:val="center"/>
            </w:pPr>
            <w:r w:rsidRPr="001E4469">
              <w:rPr>
                <w:rFonts w:ascii="Arial" w:eastAsia="Arial" w:hAnsi="Arial" w:cs="Arial"/>
                <w:sz w:val="20"/>
                <w:szCs w:val="20"/>
              </w:rPr>
              <w:t>17.2%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A92242E" w14:textId="77777777" w:rsidR="008528B6" w:rsidRPr="001E4469" w:rsidRDefault="008528B6" w:rsidP="00BB011E">
            <w:pPr>
              <w:jc w:val="center"/>
            </w:pPr>
            <w:r w:rsidRPr="001E4469">
              <w:rPr>
                <w:rFonts w:ascii="Arial" w:eastAsia="Arial" w:hAnsi="Arial" w:cs="Arial"/>
                <w:sz w:val="20"/>
                <w:szCs w:val="20"/>
              </w:rPr>
              <w:t>19.4%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829C74" w14:textId="77777777" w:rsidR="008528B6" w:rsidRPr="001E4469" w:rsidRDefault="008528B6" w:rsidP="00BB011E">
            <w:pPr>
              <w:jc w:val="center"/>
            </w:pPr>
            <w:r w:rsidRPr="001E4469">
              <w:rPr>
                <w:rFonts w:ascii="Arial" w:eastAsia="Arial" w:hAnsi="Arial" w:cs="Arial"/>
                <w:sz w:val="20"/>
                <w:szCs w:val="20"/>
              </w:rPr>
              <w:t>3,750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4B8DA44" w14:textId="77777777" w:rsidR="008528B6" w:rsidRPr="001E4469" w:rsidRDefault="008528B6" w:rsidP="00BB011E">
            <w:pPr>
              <w:jc w:val="center"/>
            </w:pPr>
            <w:r w:rsidRPr="001E4469">
              <w:rPr>
                <w:rFonts w:ascii="Arial" w:eastAsia="Arial" w:hAnsi="Arial" w:cs="Arial"/>
                <w:sz w:val="20"/>
                <w:szCs w:val="20"/>
              </w:rPr>
              <w:t>28.0%</w:t>
            </w:r>
          </w:p>
        </w:tc>
      </w:tr>
    </w:tbl>
    <w:p w14:paraId="72550C8F" w14:textId="77777777" w:rsidR="008528B6" w:rsidRPr="001E4469" w:rsidRDefault="008528B6" w:rsidP="00C5367D"/>
    <w:p w14:paraId="0856D20E" w14:textId="2934EB90" w:rsidR="00C5367D" w:rsidRPr="001E4469" w:rsidRDefault="00C5367D" w:rsidP="00C5367D">
      <w:r w:rsidRPr="001E4469">
        <w:t>This variation demonstrates that the risk associated with expanding approvals to Grade D loans is highly segment-dependent. In lower-risk segments, the incremental default exposure remains relatively contained, whereas in higher-risk segments it increases substantially.</w:t>
      </w:r>
    </w:p>
    <w:p w14:paraId="05C51CB6" w14:textId="77777777" w:rsidR="00C5367D" w:rsidRPr="001E4469" w:rsidRDefault="00C5367D" w:rsidP="00C5367D">
      <w:r w:rsidRPr="001E4469">
        <w:t>A cluster-informed, selective expansion strategy could therefore improve overall outcomes by approving Grade D loans within lower-risk segments while maintaining stricter cutoffs for higher-risk groups. For example, extending approvals to Grade D within the Low-Risk Prime cluster would capture revenue from approximately 245 relatively lower-risk loans, while avoiding the disproportionately higher default exposure associated with the 3,750 loans in the High-Risk Stressed cluster.</w:t>
      </w:r>
    </w:p>
    <w:p w14:paraId="75EB1960" w14:textId="77777777" w:rsidR="00C5367D" w:rsidRPr="001E4469" w:rsidRDefault="00C5367D" w:rsidP="00C5367D">
      <w:r w:rsidRPr="001E4469">
        <w:t>This level of granularity is not captured in aggregate A/B analysis, demonstrating that segmentation provides a critical complement to policy evaluation by uncovering segment-specific risk–return trade-offs and enabling more targeted decision-making.</w:t>
      </w:r>
    </w:p>
    <w:p w14:paraId="36B9A40E" w14:textId="649C85CD" w:rsidR="004927A4" w:rsidRPr="001E4469" w:rsidRDefault="009A66C4" w:rsidP="009A66C4">
      <w:pPr>
        <w:pStyle w:val="Heading1"/>
      </w:pPr>
      <w:bookmarkStart w:id="19" w:name="_Toc225096059"/>
      <w:r w:rsidRPr="001E4469">
        <w:t>5. Deep Learning for Default Prediction</w:t>
      </w:r>
      <w:r w:rsidR="00F23BD0" w:rsidRPr="001E4469">
        <w:t xml:space="preserve"> (</w:t>
      </w:r>
      <w:r w:rsidR="00430B9B" w:rsidRPr="001E4469">
        <w:t>537</w:t>
      </w:r>
      <w:r w:rsidR="00F23BD0" w:rsidRPr="001E4469">
        <w:t>)</w:t>
      </w:r>
      <w:bookmarkEnd w:id="19"/>
    </w:p>
    <w:p w14:paraId="4E4FCB11" w14:textId="39AC8FDF" w:rsidR="009A66C4" w:rsidRPr="001E4469" w:rsidRDefault="00DE464E" w:rsidP="009A66C4">
      <w:pPr>
        <w:pStyle w:val="Heading2"/>
      </w:pPr>
      <w:bookmarkStart w:id="20" w:name="_Toc225096060"/>
      <w:r w:rsidRPr="001E4469">
        <w:t>5.1 Prediction Task and Data Split</w:t>
      </w:r>
      <w:r w:rsidR="00F23BD0" w:rsidRPr="001E4469">
        <w:t xml:space="preserve"> (121)</w:t>
      </w:r>
      <w:bookmarkEnd w:id="20"/>
    </w:p>
    <w:p w14:paraId="6AD0EA6A" w14:textId="10131722" w:rsidR="00DE464E" w:rsidRPr="001E4469" w:rsidRDefault="00DE464E" w:rsidP="00DE464E">
      <w:r w:rsidRPr="001E4469">
        <w:t xml:space="preserve">The task is a binary classification problem </w:t>
      </w:r>
      <w:r w:rsidR="00365E79" w:rsidRPr="001E4469">
        <w:t>aimed at predicting whether a loan will default (loan_is_bad = 1) using only application</w:t>
      </w:r>
      <w:r w:rsidR="00F822D5">
        <w:t>-</w:t>
      </w:r>
      <w:r w:rsidR="00365E79" w:rsidRPr="001E4469">
        <w:t>time features. The dataset was restricted to 42,872 loans with strictly terminal outcomes</w:t>
      </w:r>
      <w:r w:rsidR="00C936FD" w:rsidRPr="001E4469">
        <w:t>, excluding 505 late/grace period loans whose labels are ambiguous, in order to minimize label noise in both training and evaluation</w:t>
      </w:r>
      <w:r w:rsidR="00446A61" w:rsidRPr="001E4469">
        <w:t xml:space="preserve"> ().</w:t>
      </w:r>
    </w:p>
    <w:p w14:paraId="271976DC" w14:textId="2A826AF0" w:rsidR="00446A61" w:rsidRPr="001E4469" w:rsidRDefault="00446A61" w:rsidP="00DE464E">
      <w:r w:rsidRPr="001E4469">
        <w:t xml:space="preserve">The data were split into </w:t>
      </w:r>
      <w:r w:rsidR="00D63FF4" w:rsidRPr="001E4469">
        <w:t>training (70%), validation (15%)</w:t>
      </w:r>
      <w:r w:rsidR="00060C5F" w:rsidRPr="001E4469">
        <w:t xml:space="preserve"> and test (15%) sets using stratified sampling to preserve the class distribution across all subsets. All preprocessing steps, including standard </w:t>
      </w:r>
      <w:r w:rsidR="000F3AAD" w:rsidRPr="001E4469">
        <w:t xml:space="preserve">scaling for numerical variables and one-hot encoding for categorical variables, </w:t>
      </w:r>
      <w:r w:rsidR="00C8401C" w:rsidRPr="001E4469">
        <w:t>were fitted exclusively on the training data</w:t>
      </w:r>
      <w:r w:rsidR="00E50A50" w:rsidRPr="001E4469">
        <w:t>, thereby preventing information leakage and ensuring an unbiased evaluation of model performance.</w:t>
      </w:r>
    </w:p>
    <w:p w14:paraId="4EAD2C14" w14:textId="051F27EC" w:rsidR="00E50A50" w:rsidRPr="001E4469" w:rsidRDefault="00E50A50" w:rsidP="00E50A50">
      <w:pPr>
        <w:pStyle w:val="Heading2"/>
      </w:pPr>
      <w:bookmarkStart w:id="21" w:name="_Toc225096061"/>
      <w:r w:rsidRPr="001E4469">
        <w:t xml:space="preserve">5.2 </w:t>
      </w:r>
      <w:r w:rsidR="000032B4" w:rsidRPr="001E4469">
        <w:t xml:space="preserve">Model Design and Training </w:t>
      </w:r>
      <w:r w:rsidR="00F23BD0" w:rsidRPr="001E4469">
        <w:t>(178)</w:t>
      </w:r>
      <w:bookmarkEnd w:id="21"/>
    </w:p>
    <w:p w14:paraId="6EB333DF" w14:textId="0807BA20" w:rsidR="00142BAF" w:rsidRPr="001E4469" w:rsidRDefault="00AB25DF" w:rsidP="00142BAF">
      <w:r w:rsidRPr="001E4469">
        <w:t xml:space="preserve">The model uses 49 input features, comprising </w:t>
      </w:r>
      <w:r w:rsidR="00F61FDE" w:rsidRPr="001E4469">
        <w:t>28 standardised numerical variables and 21 one-hot encoded categorical indicators derived from grade</w:t>
      </w:r>
      <w:r w:rsidR="009B11CC" w:rsidRPr="001E4469">
        <w:t xml:space="preserve">, home ownership, verification </w:t>
      </w:r>
      <w:r w:rsidR="009B11CC" w:rsidRPr="001E4469">
        <w:lastRenderedPageBreak/>
        <w:t xml:space="preserve">status, purpose and listing status. A feedforward neural network was selected over logistic regression due to its ability </w:t>
      </w:r>
      <w:r w:rsidR="003B0442" w:rsidRPr="001E4469">
        <w:t xml:space="preserve">to capture non-linear interactions between borrower </w:t>
      </w:r>
      <w:r w:rsidR="003A289F" w:rsidRPr="001E4469">
        <w:t>characteristics</w:t>
      </w:r>
      <w:r w:rsidR="00066029" w:rsidRPr="001E4469">
        <w:t>. The architecture consists of three hidden layers (128</w:t>
      </w:r>
      <w:r w:rsidR="00BF7A69" w:rsidRPr="001E4469">
        <w:t>→</w:t>
      </w:r>
      <w:r w:rsidR="007F665E" w:rsidRPr="001E4469">
        <w:t>64</w:t>
      </w:r>
      <w:r w:rsidR="00BF7A69" w:rsidRPr="001E4469">
        <w:t>→</w:t>
      </w:r>
      <w:r w:rsidR="007F665E" w:rsidRPr="001E4469">
        <w:t>32 units</w:t>
      </w:r>
      <w:r w:rsidR="00066029" w:rsidRPr="001E4469">
        <w:t>)</w:t>
      </w:r>
      <w:r w:rsidR="007F665E" w:rsidRPr="001E4469">
        <w:t xml:space="preserve"> with Rel</w:t>
      </w:r>
      <w:r w:rsidR="0042000F" w:rsidRPr="001E4469">
        <w:t xml:space="preserve">U activations, batch </w:t>
      </w:r>
      <w:r w:rsidR="008D25D0" w:rsidRPr="001E4469">
        <w:t xml:space="preserve">normalization applied after the first two layers and dropout rates </w:t>
      </w:r>
      <w:r w:rsidR="002C7AF8" w:rsidRPr="001E4469">
        <w:t>0.3, 0.3 and 0.2</w:t>
      </w:r>
      <w:r w:rsidR="00142BAF" w:rsidRPr="001E4469">
        <w:t xml:space="preserve"> respectively for regularization. A sigmoid output layer produces the predicted probability of default, with the model trained using binary cross-entropy loss and the Adam optimiser.</w:t>
      </w:r>
    </w:p>
    <w:p w14:paraId="4A29C601" w14:textId="3580D812" w:rsidR="000032B4" w:rsidRPr="001E4469" w:rsidRDefault="00142BAF" w:rsidP="00142BAF">
      <w:r w:rsidRPr="001E4469">
        <w:t xml:space="preserve">Class imbalance (approximately 17% defaults) was addressed by upweighting default observations by a factor of 4.87, avoiding the information loss associated with resampling techniques. Early stopping was applied based on validation AUC, alongside learning rate reduction, with the optimal model selected between epochs 13 and 21. As illustrated in Figure , </w:t>
      </w:r>
      <w:r w:rsidR="00F91638" w:rsidRPr="001E4469">
        <w:t>5</w:t>
      </w:r>
      <w:r w:rsidRPr="001E4469">
        <w:t>the training and validation loss and AUC curves stabilise without divergence, indicating that early stopping effectively mitigated overfitting.</w:t>
      </w:r>
    </w:p>
    <w:p w14:paraId="39B6C5CC" w14:textId="77777777" w:rsidR="00893A1B" w:rsidRPr="001E4469" w:rsidRDefault="00D20B9D" w:rsidP="00893A1B">
      <w:pPr>
        <w:keepNext/>
      </w:pPr>
      <w:r w:rsidRPr="001E4469">
        <w:drawing>
          <wp:inline distT="0" distB="0" distL="0" distR="0" wp14:anchorId="018B630C" wp14:editId="581F80B7">
            <wp:extent cx="5524500" cy="2129270"/>
            <wp:effectExtent l="0" t="0" r="0" b="4445"/>
            <wp:docPr id="509081275" name="Picture 50908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7243"/>
                    <a:stretch>
                      <a:fillRect/>
                    </a:stretch>
                  </pic:blipFill>
                  <pic:spPr bwMode="auto">
                    <a:xfrm>
                      <a:off x="0" y="0"/>
                      <a:ext cx="5524500" cy="2129270"/>
                    </a:xfrm>
                    <a:prstGeom prst="rect">
                      <a:avLst/>
                    </a:prstGeom>
                    <a:ln>
                      <a:noFill/>
                    </a:ln>
                    <a:extLst>
                      <a:ext uri="{53640926-AAD7-44D8-BBD7-CCE9431645EC}">
                        <a14:shadowObscured xmlns:a14="http://schemas.microsoft.com/office/drawing/2010/main"/>
                      </a:ext>
                    </a:extLst>
                  </pic:spPr>
                </pic:pic>
              </a:graphicData>
            </a:graphic>
          </wp:inline>
        </w:drawing>
      </w:r>
    </w:p>
    <w:p w14:paraId="27ADD442" w14:textId="1E6CC8D0" w:rsidR="00402F10" w:rsidRPr="001E4469" w:rsidRDefault="00893A1B" w:rsidP="00893A1B">
      <w:pPr>
        <w:pStyle w:val="Caption"/>
        <w:jc w:val="center"/>
      </w:pPr>
      <w:bookmarkStart w:id="22" w:name="_Toc225095906"/>
      <w:r w:rsidRPr="001E4469">
        <w:t xml:space="preserve">Figure </w:t>
      </w:r>
      <w:r w:rsidRPr="001E4469">
        <w:fldChar w:fldCharType="begin"/>
      </w:r>
      <w:r w:rsidRPr="001E4469">
        <w:instrText xml:space="preserve"> SEQ Figure \* ARABIC </w:instrText>
      </w:r>
      <w:r w:rsidRPr="001E4469">
        <w:fldChar w:fldCharType="separate"/>
      </w:r>
      <w:r w:rsidR="005B0A00" w:rsidRPr="001E4469">
        <w:t>5</w:t>
      </w:r>
      <w:r w:rsidRPr="001E4469">
        <w:fldChar w:fldCharType="end"/>
      </w:r>
      <w:r w:rsidRPr="001E4469">
        <w:t xml:space="preserve"> Training and Validation Loss and AUC Curves</w:t>
      </w:r>
      <w:bookmarkEnd w:id="22"/>
    </w:p>
    <w:p w14:paraId="0FC18732" w14:textId="49F13359" w:rsidR="000959CE" w:rsidRPr="001E4469" w:rsidRDefault="000959CE" w:rsidP="004B6F27">
      <w:pPr>
        <w:pStyle w:val="Heading2"/>
      </w:pPr>
      <w:bookmarkStart w:id="23" w:name="_Toc225096062"/>
      <w:r w:rsidRPr="001E4469">
        <w:t>5.3 Model Evaluation</w:t>
      </w:r>
      <w:r w:rsidR="00F23BD0" w:rsidRPr="001E4469">
        <w:t xml:space="preserve"> (238)</w:t>
      </w:r>
      <w:bookmarkEnd w:id="23"/>
    </w:p>
    <w:p w14:paraId="2B0AB7C7" w14:textId="51EC44B7" w:rsidR="000158EF" w:rsidRPr="001E4469" w:rsidRDefault="00D221DA" w:rsidP="00D221DA">
      <w:r w:rsidRPr="001E4469">
        <w:t xml:space="preserve">Model performance on the held-out test set is summarized in Table 4, which reports the three primary evaluation metrics alongside </w:t>
      </w:r>
      <w:r w:rsidR="00437C49" w:rsidRPr="001E4469">
        <w:t>their interpretations. An ROC-AUC of approximately 0.69 represents a reasonab</w:t>
      </w:r>
      <w:r w:rsidR="00B21FF6" w:rsidRPr="001E4469">
        <w:t>le baseline for credit risk</w:t>
      </w:r>
      <w:r w:rsidR="00153D5E" w:rsidRPr="001E4469">
        <w:t xml:space="preserve"> prediction</w:t>
      </w:r>
      <w:r w:rsidR="00870822" w:rsidRPr="001E4469">
        <w:t>, where future borrower outcomes, such as income shocks or job loss, remain unobservable</w:t>
      </w:r>
      <w:r w:rsidR="00E95CE2" w:rsidRPr="001E4469">
        <w:t xml:space="preserve"> at origination. The model achieves an </w:t>
      </w:r>
      <w:r w:rsidR="00436A6C" w:rsidRPr="001E4469">
        <w:t xml:space="preserve">average precision of approximately 0.31, reflecting </w:t>
      </w:r>
      <w:r w:rsidR="00B10659" w:rsidRPr="001E4469">
        <w:t xml:space="preserve">a substantial improvement over the random baseline of 0.17, while the F1 score </w:t>
      </w:r>
      <w:r w:rsidR="00AD678C" w:rsidRPr="001E4469">
        <w:t>of around 0.37 at a 0.5 threshold indicates a balanced trade-off between precision and recall.</w:t>
      </w:r>
    </w:p>
    <w:p w14:paraId="158F64E2" w14:textId="1A1C23A8" w:rsidR="004B6F27" w:rsidRPr="001E4469" w:rsidRDefault="004B6F27" w:rsidP="004B6F27">
      <w:pPr>
        <w:pStyle w:val="Caption"/>
        <w:keepNext/>
        <w:jc w:val="center"/>
      </w:pPr>
      <w:bookmarkStart w:id="24" w:name="_Toc225095970"/>
      <w:r w:rsidRPr="001E4469">
        <w:lastRenderedPageBreak/>
        <w:t xml:space="preserve">Table </w:t>
      </w:r>
      <w:r w:rsidRPr="001E4469">
        <w:fldChar w:fldCharType="begin"/>
      </w:r>
      <w:r w:rsidRPr="001E4469">
        <w:instrText xml:space="preserve"> SEQ Table \* ARABIC </w:instrText>
      </w:r>
      <w:r w:rsidRPr="001E4469">
        <w:fldChar w:fldCharType="separate"/>
      </w:r>
      <w:r w:rsidRPr="001E4469">
        <w:t>4</w:t>
      </w:r>
      <w:r w:rsidRPr="001E4469">
        <w:fldChar w:fldCharType="end"/>
      </w:r>
      <w:r w:rsidRPr="001E4469">
        <w:t xml:space="preserve"> Model performance on the held-out test set</w:t>
      </w:r>
      <w:bookmarkEnd w:id="24"/>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4560"/>
      </w:tblGrid>
      <w:tr w:rsidR="004B6F27" w:rsidRPr="001E4469" w14:paraId="2271F2A0" w14:textId="77777777" w:rsidTr="00C1667B">
        <w:trPr>
          <w:tblHeade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A9434F" w14:textId="77777777" w:rsidR="004B6F27" w:rsidRPr="001E4469" w:rsidRDefault="004B6F27" w:rsidP="00BB011E">
            <w:pPr>
              <w:jc w:val="center"/>
            </w:pPr>
            <w:r w:rsidRPr="001E4469">
              <w:rPr>
                <w:rFonts w:ascii="Arial" w:eastAsia="Arial" w:hAnsi="Arial" w:cs="Arial"/>
                <w:b/>
                <w:bCs/>
                <w:color w:val="FFFFFF"/>
                <w:sz w:val="20"/>
                <w:szCs w:val="20"/>
              </w:rPr>
              <w:t>Metric</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88139B" w14:textId="77777777" w:rsidR="004B6F27" w:rsidRPr="001E4469" w:rsidRDefault="004B6F27" w:rsidP="00BB011E">
            <w:pPr>
              <w:jc w:val="center"/>
            </w:pPr>
            <w:r w:rsidRPr="001E4469">
              <w:rPr>
                <w:rFonts w:ascii="Arial" w:eastAsia="Arial" w:hAnsi="Arial" w:cs="Arial"/>
                <w:b/>
                <w:bCs/>
                <w:color w:val="FFFFFF"/>
                <w:sz w:val="20"/>
                <w:szCs w:val="20"/>
              </w:rPr>
              <w:t>Value</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64D5FB" w14:textId="77777777" w:rsidR="004B6F27" w:rsidRPr="001E4469" w:rsidRDefault="004B6F27" w:rsidP="00BB011E">
            <w:pPr>
              <w:jc w:val="center"/>
            </w:pPr>
            <w:r w:rsidRPr="001E4469">
              <w:rPr>
                <w:rFonts w:ascii="Arial" w:eastAsia="Arial" w:hAnsi="Arial" w:cs="Arial"/>
                <w:b/>
                <w:bCs/>
                <w:color w:val="FFFFFF"/>
                <w:sz w:val="20"/>
                <w:szCs w:val="20"/>
              </w:rPr>
              <w:t>Interpretation</w:t>
            </w:r>
          </w:p>
        </w:tc>
      </w:tr>
      <w:tr w:rsidR="004B6F27" w:rsidRPr="001E4469" w14:paraId="51FABD97" w14:textId="77777777" w:rsidTr="00C1667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0875A1F2" w14:textId="77777777" w:rsidR="004B6F27" w:rsidRPr="001E4469" w:rsidRDefault="004B6F27" w:rsidP="00BB011E">
            <w:r w:rsidRPr="001E4469">
              <w:rPr>
                <w:rFonts w:ascii="Arial" w:eastAsia="Arial" w:hAnsi="Arial" w:cs="Arial"/>
                <w:b/>
                <w:bCs/>
                <w:sz w:val="20"/>
                <w:szCs w:val="20"/>
              </w:rPr>
              <w:t>ROC-AUC</w:t>
            </w:r>
          </w:p>
        </w:tc>
        <w:tc>
          <w:tcPr>
            <w:tcW w:w="14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23D26EC6" w14:textId="77777777" w:rsidR="004B6F27" w:rsidRPr="001E4469" w:rsidRDefault="004B6F27" w:rsidP="00BB011E">
            <w:pPr>
              <w:jc w:val="center"/>
            </w:pPr>
            <w:r w:rsidRPr="001E4469">
              <w:rPr>
                <w:rFonts w:ascii="Arial" w:eastAsia="Arial" w:hAnsi="Arial" w:cs="Arial"/>
                <w:sz w:val="20"/>
                <w:szCs w:val="20"/>
              </w:rPr>
              <w:t>~0.69</w:t>
            </w:r>
          </w:p>
        </w:tc>
        <w:tc>
          <w:tcPr>
            <w:tcW w:w="45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5AF05BB3" w14:textId="77777777" w:rsidR="004B6F27" w:rsidRPr="001E4469" w:rsidRDefault="004B6F27" w:rsidP="00BB011E">
            <w:pPr>
              <w:jc w:val="center"/>
            </w:pPr>
            <w:r w:rsidRPr="001E4469">
              <w:rPr>
                <w:rFonts w:ascii="Arial" w:eastAsia="Arial" w:hAnsi="Arial" w:cs="Arial"/>
                <w:sz w:val="20"/>
                <w:szCs w:val="20"/>
              </w:rPr>
              <w:t>In ~69% of pairs, model correctly ranks default above non-default</w:t>
            </w:r>
          </w:p>
        </w:tc>
      </w:tr>
      <w:tr w:rsidR="004B6F27" w:rsidRPr="001E4469" w14:paraId="42D15A6D" w14:textId="77777777" w:rsidTr="00C1667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B482259" w14:textId="77777777" w:rsidR="004B6F27" w:rsidRPr="001E4469" w:rsidRDefault="004B6F27" w:rsidP="00BB011E">
            <w:r w:rsidRPr="001E4469">
              <w:rPr>
                <w:rFonts w:ascii="Arial" w:eastAsia="Arial" w:hAnsi="Arial" w:cs="Arial"/>
                <w:b/>
                <w:bCs/>
                <w:sz w:val="20"/>
                <w:szCs w:val="20"/>
              </w:rPr>
              <w:t>Average Precision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95A77AA" w14:textId="77777777" w:rsidR="004B6F27" w:rsidRPr="001E4469" w:rsidRDefault="004B6F27" w:rsidP="00BB011E">
            <w:pPr>
              <w:jc w:val="center"/>
            </w:pPr>
            <w:r w:rsidRPr="001E4469">
              <w:rPr>
                <w:rFonts w:ascii="Arial" w:eastAsia="Arial" w:hAnsi="Arial" w:cs="Arial"/>
                <w:sz w:val="20"/>
                <w:szCs w:val="20"/>
              </w:rPr>
              <w:t>~0.31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EAD8B99" w14:textId="77777777" w:rsidR="004B6F27" w:rsidRPr="001E4469" w:rsidRDefault="004B6F27" w:rsidP="00BB011E">
            <w:pPr>
              <w:jc w:val="center"/>
            </w:pPr>
            <w:r w:rsidRPr="001E4469">
              <w:rPr>
                <w:rFonts w:ascii="Arial" w:eastAsia="Arial" w:hAnsi="Arial" w:cs="Arial"/>
                <w:sz w:val="20"/>
                <w:szCs w:val="20"/>
              </w:rPr>
              <w:t>~1.8× improvement over 0.17 random baseline</w:t>
            </w:r>
          </w:p>
        </w:tc>
      </w:tr>
      <w:tr w:rsidR="004B6F27" w:rsidRPr="001E4469" w14:paraId="6DC4E077" w14:textId="77777777" w:rsidTr="00C1667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7486EC60" w14:textId="77777777" w:rsidR="004B6F27" w:rsidRPr="001E4469" w:rsidRDefault="004B6F27" w:rsidP="00BB011E">
            <w:r w:rsidRPr="001E4469">
              <w:rPr>
                <w:rFonts w:ascii="Arial" w:eastAsia="Arial" w:hAnsi="Arial" w:cs="Arial"/>
                <w:b/>
                <w:bCs/>
                <w:sz w:val="20"/>
                <w:szCs w:val="20"/>
              </w:rPr>
              <w:t>F1 Score (@ 0.5 threshold)</w:t>
            </w:r>
          </w:p>
        </w:tc>
        <w:tc>
          <w:tcPr>
            <w:tcW w:w="140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7727047A" w14:textId="77777777" w:rsidR="004B6F27" w:rsidRPr="001E4469" w:rsidRDefault="004B6F27" w:rsidP="00BB011E">
            <w:pPr>
              <w:jc w:val="center"/>
            </w:pPr>
            <w:r w:rsidRPr="001E4469">
              <w:rPr>
                <w:rFonts w:ascii="Arial" w:eastAsia="Arial" w:hAnsi="Arial" w:cs="Arial"/>
                <w:sz w:val="20"/>
                <w:szCs w:val="20"/>
              </w:rPr>
              <w:t>~0.37</w:t>
            </w:r>
          </w:p>
        </w:tc>
        <w:tc>
          <w:tcPr>
            <w:tcW w:w="4560" w:type="dxa"/>
            <w:tcBorders>
              <w:top w:val="single" w:sz="1" w:space="0" w:color="AAAAAA"/>
              <w:left w:val="single" w:sz="1" w:space="0" w:color="AAAAAA"/>
              <w:bottom w:val="single" w:sz="1" w:space="0" w:color="AAAAAA"/>
              <w:right w:val="single" w:sz="1" w:space="0" w:color="AAAAAA"/>
            </w:tcBorders>
            <w:shd w:val="clear" w:color="auto" w:fill="EDF2FA"/>
            <w:tcMar>
              <w:top w:w="60" w:type="dxa"/>
              <w:left w:w="120" w:type="dxa"/>
              <w:bottom w:w="60" w:type="dxa"/>
              <w:right w:w="120" w:type="dxa"/>
            </w:tcMar>
            <w:vAlign w:val="center"/>
          </w:tcPr>
          <w:p w14:paraId="2EE3A1D9" w14:textId="77777777" w:rsidR="004B6F27" w:rsidRPr="001E4469" w:rsidRDefault="004B6F27" w:rsidP="00BB011E">
            <w:pPr>
              <w:jc w:val="center"/>
            </w:pPr>
            <w:r w:rsidRPr="001E4469">
              <w:rPr>
                <w:rFonts w:ascii="Arial" w:eastAsia="Arial" w:hAnsi="Arial" w:cs="Arial"/>
                <w:sz w:val="20"/>
                <w:szCs w:val="20"/>
              </w:rPr>
              <w:t>Balanced precision/recall at default threshold</w:t>
            </w:r>
          </w:p>
        </w:tc>
      </w:tr>
    </w:tbl>
    <w:p w14:paraId="216D0721" w14:textId="77777777" w:rsidR="004B6F27" w:rsidRPr="001E4469" w:rsidRDefault="004B6F27" w:rsidP="004B6F27"/>
    <w:p w14:paraId="3762ED4E" w14:textId="16F1BB08" w:rsidR="000959CE" w:rsidRPr="001E4469" w:rsidRDefault="00AD678C" w:rsidP="000959CE">
      <w:r w:rsidRPr="001E4469">
        <w:t xml:space="preserve">Performance varies across borrower segments. The High-Income </w:t>
      </w:r>
      <w:r w:rsidR="00AB4AED" w:rsidRPr="001E4469">
        <w:t xml:space="preserve">Leveraged cluster achieves the strongest discrimination (AUC </w:t>
      </w:r>
      <w:r w:rsidR="00BC0C3D" w:rsidRPr="001E4469">
        <w:t xml:space="preserve">~ </w:t>
      </w:r>
      <w:r w:rsidR="00486573" w:rsidRPr="001E4469">
        <w:t>0.</w:t>
      </w:r>
      <w:r w:rsidR="00971441" w:rsidRPr="001E4469">
        <w:t>71</w:t>
      </w:r>
      <w:r w:rsidR="00AB4AED" w:rsidRPr="001E4469">
        <w:t>)</w:t>
      </w:r>
      <w:r w:rsidR="00BC0C3D" w:rsidRPr="001E4469">
        <w:t xml:space="preserve">, </w:t>
      </w:r>
      <w:r w:rsidR="00971441" w:rsidRPr="001E4469">
        <w:t>likely due to its distinctive income-leverage profile, whereas</w:t>
      </w:r>
      <w:r w:rsidR="00971441" w:rsidRPr="001E4469">
        <w:t xml:space="preserve"> the </w:t>
      </w:r>
      <w:r w:rsidR="00BC0C3D" w:rsidRPr="001E4469">
        <w:t xml:space="preserve">noisier relation </w:t>
      </w:r>
      <w:r w:rsidR="00971441" w:rsidRPr="001E4469">
        <w:t>Mid-Risk Mainstream cluster performs worse (AUC</w:t>
      </w:r>
      <w:r w:rsidR="00486573" w:rsidRPr="001E4469">
        <w:t xml:space="preserve"> ~ </w:t>
      </w:r>
      <w:r w:rsidR="004D5F3B" w:rsidRPr="001E4469">
        <w:t>0.64</w:t>
      </w:r>
      <w:r w:rsidR="00971441" w:rsidRPr="001E4469">
        <w:t>)</w:t>
      </w:r>
      <w:r w:rsidR="004D5F3B" w:rsidRPr="001E4469">
        <w:t>, reflecting the noisier nature of delinquency-based risk signals. At a lower de</w:t>
      </w:r>
      <w:r w:rsidR="00F80115" w:rsidRPr="001E4469">
        <w:t xml:space="preserve">cision threshold of 0.25, the model approves approximately 10% of test loans with an observed default </w:t>
      </w:r>
      <w:r w:rsidR="004659F1" w:rsidRPr="001E4469">
        <w:t xml:space="preserve">rate of around 5.7%, substantially below the corresponding default rates </w:t>
      </w:r>
      <w:r w:rsidR="00D00D92" w:rsidRPr="001E4469">
        <w:t>under Policy A (13.5%) and Policy B (15.5%) for the same subset. This indicates that probability-based screening can isolate</w:t>
      </w:r>
      <w:r w:rsidR="00D3083F" w:rsidRPr="001E4469">
        <w:t xml:space="preserve"> a low-risk cohort that is not captured by grade-based cutoffs</w:t>
      </w:r>
      <w:r w:rsidR="00AC59BA" w:rsidRPr="001E4469">
        <w:t xml:space="preserve">. The models discriminatory performance is further illustrated in Figure 7, where the ROC and Precision-Recall curves </w:t>
      </w:r>
      <w:r w:rsidR="004637DC" w:rsidRPr="001E4469">
        <w:t>demonstrate clear separation from the random baseline and highlight the trade-off between sensitivity and precision across different classification thresholds.</w:t>
      </w:r>
    </w:p>
    <w:p w14:paraId="692D3370" w14:textId="77777777" w:rsidR="00AC59BA" w:rsidRPr="001E4469" w:rsidRDefault="00AC59BA" w:rsidP="000959CE"/>
    <w:p w14:paraId="141085D4" w14:textId="77777777" w:rsidR="005B0A00" w:rsidRPr="001E4469" w:rsidRDefault="00C1667B" w:rsidP="005B0A00">
      <w:pPr>
        <w:keepNext/>
        <w:jc w:val="center"/>
      </w:pPr>
      <w:r w:rsidRPr="001E4469">
        <w:drawing>
          <wp:inline distT="0" distB="0" distL="0" distR="0" wp14:anchorId="1CC019A6" wp14:editId="3D8DFF4A">
            <wp:extent cx="5524500" cy="2126387"/>
            <wp:effectExtent l="0" t="0" r="0" b="7620"/>
            <wp:docPr id="1810153296" name="Picture 181015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7368"/>
                    <a:stretch>
                      <a:fillRect/>
                    </a:stretch>
                  </pic:blipFill>
                  <pic:spPr bwMode="auto">
                    <a:xfrm>
                      <a:off x="0" y="0"/>
                      <a:ext cx="5524500" cy="2126387"/>
                    </a:xfrm>
                    <a:prstGeom prst="rect">
                      <a:avLst/>
                    </a:prstGeom>
                    <a:ln>
                      <a:noFill/>
                    </a:ln>
                    <a:extLst>
                      <a:ext uri="{53640926-AAD7-44D8-BBD7-CCE9431645EC}">
                        <a14:shadowObscured xmlns:a14="http://schemas.microsoft.com/office/drawing/2010/main"/>
                      </a:ext>
                    </a:extLst>
                  </pic:spPr>
                </pic:pic>
              </a:graphicData>
            </a:graphic>
          </wp:inline>
        </w:drawing>
      </w:r>
    </w:p>
    <w:p w14:paraId="5D110931" w14:textId="2EDE080D" w:rsidR="005C231F" w:rsidRPr="001E4469" w:rsidRDefault="005B0A00" w:rsidP="005B0A00">
      <w:pPr>
        <w:pStyle w:val="Caption"/>
        <w:jc w:val="center"/>
      </w:pPr>
      <w:bookmarkStart w:id="25" w:name="_Toc225095907"/>
      <w:r w:rsidRPr="001E4469">
        <w:t xml:space="preserve">Figure </w:t>
      </w:r>
      <w:r w:rsidRPr="001E4469">
        <w:fldChar w:fldCharType="begin"/>
      </w:r>
      <w:r w:rsidRPr="001E4469">
        <w:instrText xml:space="preserve"> SEQ Figure \* ARABIC </w:instrText>
      </w:r>
      <w:r w:rsidRPr="001E4469">
        <w:fldChar w:fldCharType="separate"/>
      </w:r>
      <w:r w:rsidRPr="001E4469">
        <w:t>6</w:t>
      </w:r>
      <w:r w:rsidRPr="001E4469">
        <w:fldChar w:fldCharType="end"/>
      </w:r>
      <w:r w:rsidRPr="001E4469">
        <w:t xml:space="preserve"> ROC Curve (AUC=0.688) and Precision-Recall Curve (AP=0.314) on the Held-Out Test Set</w:t>
      </w:r>
      <w:bookmarkEnd w:id="25"/>
    </w:p>
    <w:p w14:paraId="220CC298" w14:textId="6B91A134" w:rsidR="00606547" w:rsidRPr="001E4469" w:rsidRDefault="00EF273A" w:rsidP="00ED6711">
      <w:pPr>
        <w:pStyle w:val="Heading1"/>
      </w:pPr>
      <w:bookmarkStart w:id="26" w:name="_Toc225096063"/>
      <w:r w:rsidRPr="001E4469">
        <w:lastRenderedPageBreak/>
        <w:t>6. Integrated Recommendation</w:t>
      </w:r>
      <w:r w:rsidR="00D35DE8" w:rsidRPr="001E4469">
        <w:t xml:space="preserve"> (</w:t>
      </w:r>
      <w:r w:rsidR="00B864C3" w:rsidRPr="001E4469">
        <w:t>164</w:t>
      </w:r>
      <w:r w:rsidR="00D35DE8" w:rsidRPr="001E4469">
        <w:t>)</w:t>
      </w:r>
      <w:bookmarkEnd w:id="26"/>
    </w:p>
    <w:p w14:paraId="7718DA29" w14:textId="0F4A4AA1" w:rsidR="00606547" w:rsidRPr="001E4469" w:rsidRDefault="00606547" w:rsidP="007A1481">
      <w:r w:rsidRPr="001E4469">
        <w:t xml:space="preserve">The </w:t>
      </w:r>
      <w:r w:rsidR="001F0A87" w:rsidRPr="001E4469">
        <w:t>three analytical components form</w:t>
      </w:r>
      <w:r w:rsidR="0078748C" w:rsidRPr="001E4469">
        <w:t xml:space="preserve"> </w:t>
      </w:r>
      <w:r w:rsidR="001F0A87" w:rsidRPr="001E4469">
        <w:t xml:space="preserve">a coherent and complementary decision making framework. The A/B analysis establishes the core business question: whether expanding </w:t>
      </w:r>
      <w:r w:rsidR="00F974DA" w:rsidRPr="001E4469">
        <w:t xml:space="preserve">approvals to Grade D loans </w:t>
      </w:r>
      <w:r w:rsidR="001A2545" w:rsidRPr="001E4469">
        <w:t xml:space="preserve">improves overall profitability. Results show a +1.90 pp increase in default rate </w:t>
      </w:r>
      <w:r w:rsidR="000453F3" w:rsidRPr="001E4469">
        <w:t xml:space="preserve">under expansion, indicating a deterioration in portfolio quality. However, clustering reveals that </w:t>
      </w:r>
      <w:r w:rsidR="00A11EA3" w:rsidRPr="001E4469">
        <w:t xml:space="preserve">this aggregate effect masks substantial heterogeneity, with marginal Grade D default rates ranging from </w:t>
      </w:r>
      <w:r w:rsidR="003C322D" w:rsidRPr="001E4469">
        <w:t>20.8 % in Low-Risk</w:t>
      </w:r>
      <w:r w:rsidR="004B447D" w:rsidRPr="001E4469">
        <w:t xml:space="preserve"> segments to 28.0 % in High-Risk.</w:t>
      </w:r>
    </w:p>
    <w:p w14:paraId="6D0F9CED" w14:textId="4C82F5F7" w:rsidR="004B447D" w:rsidRPr="001E4469" w:rsidRDefault="004B447D" w:rsidP="007A1481">
      <w:r w:rsidRPr="001E4469">
        <w:t xml:space="preserve">The predictive model further enhances decision-making by capturing non-linear </w:t>
      </w:r>
      <w:r w:rsidR="00BE5B75" w:rsidRPr="001E4469">
        <w:t>relationships between borrower characteristics. AT a 0.25 threshold, it identifies a subset of loans with an approximate default rate of 5.7%, significantly o</w:t>
      </w:r>
      <w:r w:rsidR="00B8197D" w:rsidRPr="001E4469">
        <w:t xml:space="preserve">utperforming both grade-based policies. </w:t>
      </w:r>
    </w:p>
    <w:p w14:paraId="6F3D1EA8" w14:textId="1AB50B23" w:rsidR="00B8197D" w:rsidRPr="001E4469" w:rsidRDefault="00B8197D" w:rsidP="007A1481">
      <w:r w:rsidRPr="001E4469">
        <w:t>Taken together, these findings suggest that borrower risk cannot be effectively managed using a single grade cutoff. Instead, a hybrid approach is recommended</w:t>
      </w:r>
      <w:r w:rsidR="0078748C" w:rsidRPr="001E4469">
        <w:t>; use model-based probability thresholds for loan approval</w:t>
      </w:r>
      <w:r w:rsidR="00255EC0" w:rsidRPr="001E4469">
        <w:t xml:space="preserve">, supported by clustering </w:t>
      </w:r>
      <w:r w:rsidR="00A302B9" w:rsidRPr="001E4469">
        <w:t xml:space="preserve">for segment-level monitoring and strategy refinement. Before deployment, further validation is required, including </w:t>
      </w:r>
      <w:r w:rsidR="0091077A" w:rsidRPr="001E4469">
        <w:t>temporal testing, probability calibration and addressing selection bias.</w:t>
      </w:r>
    </w:p>
    <w:p w14:paraId="77FF89DF" w14:textId="42EDCEBF" w:rsidR="00EF273A" w:rsidRPr="001E4469" w:rsidRDefault="00EF273A" w:rsidP="00EF273A">
      <w:pPr>
        <w:pStyle w:val="Heading1"/>
      </w:pPr>
      <w:bookmarkStart w:id="27" w:name="_Toc225096066"/>
      <w:r w:rsidRPr="001E4469">
        <w:t>7. References</w:t>
      </w:r>
      <w:bookmarkEnd w:id="27"/>
      <w:r w:rsidRPr="001E4469">
        <w:t xml:space="preserve"> </w:t>
      </w:r>
    </w:p>
    <w:p w14:paraId="4C9A982D" w14:textId="77777777" w:rsidR="00D56A1C" w:rsidRPr="001E4469" w:rsidRDefault="00D56A1C" w:rsidP="00D56A1C">
      <w:r w:rsidRPr="001E4469">
        <w:t>Banasik, J., Crook, J., &amp; Thomas, L. (2003). Sample selection bias in credit scoring models. Journal of the Operational Research Society, 54(8), 822–832.</w:t>
      </w:r>
    </w:p>
    <w:p w14:paraId="73087D4C" w14:textId="61CCC3BF" w:rsidR="00EF273A" w:rsidRDefault="00D56A1C" w:rsidP="00D56A1C">
      <w:r w:rsidRPr="001E4469">
        <w:t xml:space="preserve">Efron, B., &amp; </w:t>
      </w:r>
      <w:proofErr w:type="spellStart"/>
      <w:r w:rsidRPr="001E4469">
        <w:t>Tibshirani</w:t>
      </w:r>
      <w:proofErr w:type="spellEnd"/>
      <w:r w:rsidRPr="001E4469">
        <w:t>, R. J. (1993). An Introduction to the Bootstrap. Chapman &amp; Hall.</w:t>
      </w:r>
    </w:p>
    <w:p w14:paraId="08B73D14" w14:textId="475382E4" w:rsidR="009851CE" w:rsidRPr="001E4469" w:rsidRDefault="009851CE" w:rsidP="009851CE">
      <w:proofErr w:type="spellStart"/>
      <w:r w:rsidRPr="009851CE">
        <w:t>Turiel</w:t>
      </w:r>
      <w:proofErr w:type="spellEnd"/>
      <w:r w:rsidRPr="009851CE">
        <w:t xml:space="preserve">, J. D., &amp; Aste, T. (2020). Peer-to-peer loan acceptance and default prediction with artificial intelligence. </w:t>
      </w:r>
      <w:r w:rsidRPr="009851CE">
        <w:rPr>
          <w:i/>
          <w:iCs/>
        </w:rPr>
        <w:t>Royal Society Open Science</w:t>
      </w:r>
      <w:r w:rsidRPr="009851CE">
        <w:t>, 7(6), 191649.</w:t>
      </w:r>
    </w:p>
    <w:p w14:paraId="386A4EF4" w14:textId="77777777" w:rsidR="00EF273A" w:rsidRPr="00EF273A" w:rsidRDefault="00EF273A" w:rsidP="00EF273A">
      <w:pPr>
        <w:rPr>
          <w:lang w:val="en-US"/>
        </w:rPr>
      </w:pPr>
    </w:p>
    <w:sectPr w:rsidR="00EF273A" w:rsidRPr="00EF273A" w:rsidSect="00CF67B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87390"/>
    <w:multiLevelType w:val="hybridMultilevel"/>
    <w:tmpl w:val="5BD2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456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4F"/>
    <w:rsid w:val="000032B4"/>
    <w:rsid w:val="000050A6"/>
    <w:rsid w:val="00007EBF"/>
    <w:rsid w:val="000158EF"/>
    <w:rsid w:val="00020C59"/>
    <w:rsid w:val="000337F2"/>
    <w:rsid w:val="00035242"/>
    <w:rsid w:val="00035B79"/>
    <w:rsid w:val="00036C57"/>
    <w:rsid w:val="00044EB6"/>
    <w:rsid w:val="000453F3"/>
    <w:rsid w:val="000572A0"/>
    <w:rsid w:val="00060C5F"/>
    <w:rsid w:val="00061711"/>
    <w:rsid w:val="00066029"/>
    <w:rsid w:val="00067DA3"/>
    <w:rsid w:val="0007037D"/>
    <w:rsid w:val="00074931"/>
    <w:rsid w:val="00092C7D"/>
    <w:rsid w:val="000959CE"/>
    <w:rsid w:val="00095A70"/>
    <w:rsid w:val="000A262E"/>
    <w:rsid w:val="000B36AC"/>
    <w:rsid w:val="000B4BA3"/>
    <w:rsid w:val="000D724E"/>
    <w:rsid w:val="000E2A31"/>
    <w:rsid w:val="000E59CD"/>
    <w:rsid w:val="000E7267"/>
    <w:rsid w:val="000F3AAD"/>
    <w:rsid w:val="00111D49"/>
    <w:rsid w:val="00114E29"/>
    <w:rsid w:val="001160E2"/>
    <w:rsid w:val="00124C42"/>
    <w:rsid w:val="00135EAC"/>
    <w:rsid w:val="001372A6"/>
    <w:rsid w:val="00142BAF"/>
    <w:rsid w:val="00145EB8"/>
    <w:rsid w:val="001506C1"/>
    <w:rsid w:val="00153D5E"/>
    <w:rsid w:val="00157AD3"/>
    <w:rsid w:val="001623E9"/>
    <w:rsid w:val="001759D2"/>
    <w:rsid w:val="0019795A"/>
    <w:rsid w:val="001A23DA"/>
    <w:rsid w:val="001A2545"/>
    <w:rsid w:val="001B3E87"/>
    <w:rsid w:val="001D285C"/>
    <w:rsid w:val="001D5748"/>
    <w:rsid w:val="001D6FF0"/>
    <w:rsid w:val="001E0664"/>
    <w:rsid w:val="001E4469"/>
    <w:rsid w:val="001E7CAF"/>
    <w:rsid w:val="001F0A87"/>
    <w:rsid w:val="001F27FC"/>
    <w:rsid w:val="0020446B"/>
    <w:rsid w:val="00215A32"/>
    <w:rsid w:val="0022528B"/>
    <w:rsid w:val="00235AD8"/>
    <w:rsid w:val="00251138"/>
    <w:rsid w:val="00255EC0"/>
    <w:rsid w:val="0027088E"/>
    <w:rsid w:val="00271BD8"/>
    <w:rsid w:val="00284286"/>
    <w:rsid w:val="00292B30"/>
    <w:rsid w:val="00296985"/>
    <w:rsid w:val="002A21FF"/>
    <w:rsid w:val="002A7099"/>
    <w:rsid w:val="002C1D15"/>
    <w:rsid w:val="002C5B2B"/>
    <w:rsid w:val="002C7AF8"/>
    <w:rsid w:val="002D0978"/>
    <w:rsid w:val="002D158E"/>
    <w:rsid w:val="002D48DA"/>
    <w:rsid w:val="002D6699"/>
    <w:rsid w:val="002E0ED1"/>
    <w:rsid w:val="002F689E"/>
    <w:rsid w:val="002F736C"/>
    <w:rsid w:val="00301A0B"/>
    <w:rsid w:val="0030325B"/>
    <w:rsid w:val="00304DC8"/>
    <w:rsid w:val="0032164A"/>
    <w:rsid w:val="003329A9"/>
    <w:rsid w:val="00335D8A"/>
    <w:rsid w:val="00340298"/>
    <w:rsid w:val="0034664F"/>
    <w:rsid w:val="00355C31"/>
    <w:rsid w:val="00365E79"/>
    <w:rsid w:val="00373BF1"/>
    <w:rsid w:val="00376795"/>
    <w:rsid w:val="00376A22"/>
    <w:rsid w:val="00381C43"/>
    <w:rsid w:val="00391A1A"/>
    <w:rsid w:val="0039617A"/>
    <w:rsid w:val="003974C7"/>
    <w:rsid w:val="003A289F"/>
    <w:rsid w:val="003A56D4"/>
    <w:rsid w:val="003B0442"/>
    <w:rsid w:val="003B0453"/>
    <w:rsid w:val="003B66CA"/>
    <w:rsid w:val="003B7209"/>
    <w:rsid w:val="003C322D"/>
    <w:rsid w:val="003C574C"/>
    <w:rsid w:val="003D51FB"/>
    <w:rsid w:val="003D7703"/>
    <w:rsid w:val="003E3B0D"/>
    <w:rsid w:val="003E7552"/>
    <w:rsid w:val="003F4A09"/>
    <w:rsid w:val="003F6CEE"/>
    <w:rsid w:val="00401B10"/>
    <w:rsid w:val="00402F10"/>
    <w:rsid w:val="0042000F"/>
    <w:rsid w:val="00420FF3"/>
    <w:rsid w:val="004305D5"/>
    <w:rsid w:val="00430B9B"/>
    <w:rsid w:val="00431FDD"/>
    <w:rsid w:val="00436A6C"/>
    <w:rsid w:val="00436EDD"/>
    <w:rsid w:val="00437C49"/>
    <w:rsid w:val="00446A61"/>
    <w:rsid w:val="00454CCC"/>
    <w:rsid w:val="00455C68"/>
    <w:rsid w:val="004637DC"/>
    <w:rsid w:val="004659F1"/>
    <w:rsid w:val="00467D5F"/>
    <w:rsid w:val="0047217E"/>
    <w:rsid w:val="00476FB2"/>
    <w:rsid w:val="004776D8"/>
    <w:rsid w:val="00480205"/>
    <w:rsid w:val="00486573"/>
    <w:rsid w:val="004927A4"/>
    <w:rsid w:val="00493FA0"/>
    <w:rsid w:val="00495E80"/>
    <w:rsid w:val="004A1940"/>
    <w:rsid w:val="004A55E0"/>
    <w:rsid w:val="004B1D8C"/>
    <w:rsid w:val="004B447D"/>
    <w:rsid w:val="004B6F27"/>
    <w:rsid w:val="004C19C7"/>
    <w:rsid w:val="004D525A"/>
    <w:rsid w:val="004D5F3B"/>
    <w:rsid w:val="004D7CB6"/>
    <w:rsid w:val="004E1FEA"/>
    <w:rsid w:val="004E5A1A"/>
    <w:rsid w:val="004E708B"/>
    <w:rsid w:val="004F0E8F"/>
    <w:rsid w:val="004F75B5"/>
    <w:rsid w:val="00503658"/>
    <w:rsid w:val="005123E2"/>
    <w:rsid w:val="005123FC"/>
    <w:rsid w:val="00516446"/>
    <w:rsid w:val="00520108"/>
    <w:rsid w:val="00522DB6"/>
    <w:rsid w:val="00532687"/>
    <w:rsid w:val="00535063"/>
    <w:rsid w:val="0053671A"/>
    <w:rsid w:val="00546A02"/>
    <w:rsid w:val="005476C7"/>
    <w:rsid w:val="00551CA0"/>
    <w:rsid w:val="0055204F"/>
    <w:rsid w:val="00554F53"/>
    <w:rsid w:val="00567375"/>
    <w:rsid w:val="00571371"/>
    <w:rsid w:val="00576206"/>
    <w:rsid w:val="00582314"/>
    <w:rsid w:val="00584E78"/>
    <w:rsid w:val="00587596"/>
    <w:rsid w:val="005A6AB4"/>
    <w:rsid w:val="005B0A00"/>
    <w:rsid w:val="005C231F"/>
    <w:rsid w:val="005C580E"/>
    <w:rsid w:val="005C5CFF"/>
    <w:rsid w:val="005C6631"/>
    <w:rsid w:val="005D72C0"/>
    <w:rsid w:val="005D73C2"/>
    <w:rsid w:val="005E2111"/>
    <w:rsid w:val="005E4656"/>
    <w:rsid w:val="005F08F0"/>
    <w:rsid w:val="005F1569"/>
    <w:rsid w:val="005F614C"/>
    <w:rsid w:val="00600E1F"/>
    <w:rsid w:val="00605785"/>
    <w:rsid w:val="00606547"/>
    <w:rsid w:val="0060728B"/>
    <w:rsid w:val="006076B7"/>
    <w:rsid w:val="00613BB6"/>
    <w:rsid w:val="00614AA0"/>
    <w:rsid w:val="0061546B"/>
    <w:rsid w:val="0061706F"/>
    <w:rsid w:val="00626856"/>
    <w:rsid w:val="006459AE"/>
    <w:rsid w:val="006527E6"/>
    <w:rsid w:val="0066201E"/>
    <w:rsid w:val="0066398C"/>
    <w:rsid w:val="006705AE"/>
    <w:rsid w:val="00683867"/>
    <w:rsid w:val="00687062"/>
    <w:rsid w:val="00690EE2"/>
    <w:rsid w:val="006A4A4A"/>
    <w:rsid w:val="006C499E"/>
    <w:rsid w:val="006D0D82"/>
    <w:rsid w:val="006E6FCD"/>
    <w:rsid w:val="007025EE"/>
    <w:rsid w:val="00703F8D"/>
    <w:rsid w:val="007148A1"/>
    <w:rsid w:val="00765348"/>
    <w:rsid w:val="00774D8B"/>
    <w:rsid w:val="0078748C"/>
    <w:rsid w:val="00794CD4"/>
    <w:rsid w:val="007A12E5"/>
    <w:rsid w:val="007A1481"/>
    <w:rsid w:val="007A6E97"/>
    <w:rsid w:val="007B38D5"/>
    <w:rsid w:val="007B4328"/>
    <w:rsid w:val="007B5E18"/>
    <w:rsid w:val="007F665E"/>
    <w:rsid w:val="00801784"/>
    <w:rsid w:val="0080740E"/>
    <w:rsid w:val="008077F0"/>
    <w:rsid w:val="00810AE2"/>
    <w:rsid w:val="008121B1"/>
    <w:rsid w:val="00817D6B"/>
    <w:rsid w:val="0082040E"/>
    <w:rsid w:val="00821A90"/>
    <w:rsid w:val="00823AD7"/>
    <w:rsid w:val="00832359"/>
    <w:rsid w:val="00836964"/>
    <w:rsid w:val="00846C9F"/>
    <w:rsid w:val="0085112C"/>
    <w:rsid w:val="008528B6"/>
    <w:rsid w:val="00857C4E"/>
    <w:rsid w:val="00870822"/>
    <w:rsid w:val="00874EC6"/>
    <w:rsid w:val="0087536D"/>
    <w:rsid w:val="00875856"/>
    <w:rsid w:val="008864B4"/>
    <w:rsid w:val="008935D1"/>
    <w:rsid w:val="00893A1B"/>
    <w:rsid w:val="008A122C"/>
    <w:rsid w:val="008A3682"/>
    <w:rsid w:val="008A581A"/>
    <w:rsid w:val="008B7C8A"/>
    <w:rsid w:val="008C5005"/>
    <w:rsid w:val="008C6C76"/>
    <w:rsid w:val="008D25D0"/>
    <w:rsid w:val="008D3123"/>
    <w:rsid w:val="008D6193"/>
    <w:rsid w:val="008E45D6"/>
    <w:rsid w:val="008E4EF9"/>
    <w:rsid w:val="008F0DA0"/>
    <w:rsid w:val="00902DC3"/>
    <w:rsid w:val="0091077A"/>
    <w:rsid w:val="00935A81"/>
    <w:rsid w:val="00935DCF"/>
    <w:rsid w:val="009418B8"/>
    <w:rsid w:val="009435A0"/>
    <w:rsid w:val="00944A21"/>
    <w:rsid w:val="00961541"/>
    <w:rsid w:val="00971441"/>
    <w:rsid w:val="009750A4"/>
    <w:rsid w:val="009851CE"/>
    <w:rsid w:val="00991568"/>
    <w:rsid w:val="009A14D2"/>
    <w:rsid w:val="009A66C4"/>
    <w:rsid w:val="009B11CC"/>
    <w:rsid w:val="009B2331"/>
    <w:rsid w:val="009B3316"/>
    <w:rsid w:val="009B3780"/>
    <w:rsid w:val="009C718E"/>
    <w:rsid w:val="009E1F90"/>
    <w:rsid w:val="009F5C70"/>
    <w:rsid w:val="009F6AB2"/>
    <w:rsid w:val="00A10084"/>
    <w:rsid w:val="00A11EA3"/>
    <w:rsid w:val="00A157E1"/>
    <w:rsid w:val="00A30153"/>
    <w:rsid w:val="00A302B9"/>
    <w:rsid w:val="00A3106F"/>
    <w:rsid w:val="00A32572"/>
    <w:rsid w:val="00A34972"/>
    <w:rsid w:val="00A370BC"/>
    <w:rsid w:val="00A43D29"/>
    <w:rsid w:val="00A70394"/>
    <w:rsid w:val="00A70E7B"/>
    <w:rsid w:val="00A84FE7"/>
    <w:rsid w:val="00A9051D"/>
    <w:rsid w:val="00A92252"/>
    <w:rsid w:val="00A93DE5"/>
    <w:rsid w:val="00A9701D"/>
    <w:rsid w:val="00AA38A7"/>
    <w:rsid w:val="00AA6F51"/>
    <w:rsid w:val="00AA7228"/>
    <w:rsid w:val="00AA72BD"/>
    <w:rsid w:val="00AA746F"/>
    <w:rsid w:val="00AB25DF"/>
    <w:rsid w:val="00AB4AED"/>
    <w:rsid w:val="00AB595E"/>
    <w:rsid w:val="00AC1B32"/>
    <w:rsid w:val="00AC1E9A"/>
    <w:rsid w:val="00AC4376"/>
    <w:rsid w:val="00AC59BA"/>
    <w:rsid w:val="00AC6CE1"/>
    <w:rsid w:val="00AD0C26"/>
    <w:rsid w:val="00AD1F3E"/>
    <w:rsid w:val="00AD678C"/>
    <w:rsid w:val="00AE4AB9"/>
    <w:rsid w:val="00AE62C6"/>
    <w:rsid w:val="00AF006B"/>
    <w:rsid w:val="00AF345C"/>
    <w:rsid w:val="00AF39E3"/>
    <w:rsid w:val="00B10659"/>
    <w:rsid w:val="00B21106"/>
    <w:rsid w:val="00B21FF6"/>
    <w:rsid w:val="00B2612F"/>
    <w:rsid w:val="00B30A7D"/>
    <w:rsid w:val="00B37E61"/>
    <w:rsid w:val="00B45B0F"/>
    <w:rsid w:val="00B62D98"/>
    <w:rsid w:val="00B70AC8"/>
    <w:rsid w:val="00B8197D"/>
    <w:rsid w:val="00B81A1A"/>
    <w:rsid w:val="00B83588"/>
    <w:rsid w:val="00B852CA"/>
    <w:rsid w:val="00B864C3"/>
    <w:rsid w:val="00B93EEF"/>
    <w:rsid w:val="00B96174"/>
    <w:rsid w:val="00B961C5"/>
    <w:rsid w:val="00BA0067"/>
    <w:rsid w:val="00BA12A8"/>
    <w:rsid w:val="00BC0C3D"/>
    <w:rsid w:val="00BC2E51"/>
    <w:rsid w:val="00BC4BB1"/>
    <w:rsid w:val="00BE1C37"/>
    <w:rsid w:val="00BE5B75"/>
    <w:rsid w:val="00BF4390"/>
    <w:rsid w:val="00BF7A69"/>
    <w:rsid w:val="00C00029"/>
    <w:rsid w:val="00C06D05"/>
    <w:rsid w:val="00C1667B"/>
    <w:rsid w:val="00C372CA"/>
    <w:rsid w:val="00C37C79"/>
    <w:rsid w:val="00C410F2"/>
    <w:rsid w:val="00C509C5"/>
    <w:rsid w:val="00C50F83"/>
    <w:rsid w:val="00C5367D"/>
    <w:rsid w:val="00C5781C"/>
    <w:rsid w:val="00C640FC"/>
    <w:rsid w:val="00C703D7"/>
    <w:rsid w:val="00C8220D"/>
    <w:rsid w:val="00C8401C"/>
    <w:rsid w:val="00C868EA"/>
    <w:rsid w:val="00C925B9"/>
    <w:rsid w:val="00C929C5"/>
    <w:rsid w:val="00C936FD"/>
    <w:rsid w:val="00C95CC2"/>
    <w:rsid w:val="00CA1214"/>
    <w:rsid w:val="00CA1CFD"/>
    <w:rsid w:val="00CA5DED"/>
    <w:rsid w:val="00CA70C0"/>
    <w:rsid w:val="00CE1557"/>
    <w:rsid w:val="00CF3BCB"/>
    <w:rsid w:val="00CF51D2"/>
    <w:rsid w:val="00CF67B3"/>
    <w:rsid w:val="00D00D92"/>
    <w:rsid w:val="00D03F0B"/>
    <w:rsid w:val="00D06DC7"/>
    <w:rsid w:val="00D1058C"/>
    <w:rsid w:val="00D12CD2"/>
    <w:rsid w:val="00D1310F"/>
    <w:rsid w:val="00D13DD3"/>
    <w:rsid w:val="00D16C7E"/>
    <w:rsid w:val="00D20B9D"/>
    <w:rsid w:val="00D221DA"/>
    <w:rsid w:val="00D22480"/>
    <w:rsid w:val="00D3083F"/>
    <w:rsid w:val="00D31FD1"/>
    <w:rsid w:val="00D34D1A"/>
    <w:rsid w:val="00D35DE8"/>
    <w:rsid w:val="00D42B22"/>
    <w:rsid w:val="00D56A1C"/>
    <w:rsid w:val="00D63FF4"/>
    <w:rsid w:val="00D6557F"/>
    <w:rsid w:val="00D76685"/>
    <w:rsid w:val="00D86690"/>
    <w:rsid w:val="00D979CD"/>
    <w:rsid w:val="00DB4A36"/>
    <w:rsid w:val="00DC76E4"/>
    <w:rsid w:val="00DE464E"/>
    <w:rsid w:val="00E03382"/>
    <w:rsid w:val="00E120D0"/>
    <w:rsid w:val="00E132FE"/>
    <w:rsid w:val="00E2009B"/>
    <w:rsid w:val="00E22A3B"/>
    <w:rsid w:val="00E338B6"/>
    <w:rsid w:val="00E35FC8"/>
    <w:rsid w:val="00E37ADE"/>
    <w:rsid w:val="00E407B4"/>
    <w:rsid w:val="00E44B12"/>
    <w:rsid w:val="00E50A50"/>
    <w:rsid w:val="00E54D9D"/>
    <w:rsid w:val="00E5535E"/>
    <w:rsid w:val="00E572FC"/>
    <w:rsid w:val="00E60FC8"/>
    <w:rsid w:val="00E6109E"/>
    <w:rsid w:val="00E705E7"/>
    <w:rsid w:val="00E71502"/>
    <w:rsid w:val="00E93F01"/>
    <w:rsid w:val="00E95CE2"/>
    <w:rsid w:val="00EA1672"/>
    <w:rsid w:val="00EA384E"/>
    <w:rsid w:val="00EB534E"/>
    <w:rsid w:val="00ED6711"/>
    <w:rsid w:val="00EE174E"/>
    <w:rsid w:val="00EF20D9"/>
    <w:rsid w:val="00EF273A"/>
    <w:rsid w:val="00EF74F7"/>
    <w:rsid w:val="00F001E5"/>
    <w:rsid w:val="00F0132B"/>
    <w:rsid w:val="00F05EFF"/>
    <w:rsid w:val="00F134CC"/>
    <w:rsid w:val="00F13988"/>
    <w:rsid w:val="00F1703F"/>
    <w:rsid w:val="00F17BA3"/>
    <w:rsid w:val="00F23BD0"/>
    <w:rsid w:val="00F270CA"/>
    <w:rsid w:val="00F313E7"/>
    <w:rsid w:val="00F35A34"/>
    <w:rsid w:val="00F36412"/>
    <w:rsid w:val="00F43BEF"/>
    <w:rsid w:val="00F44B70"/>
    <w:rsid w:val="00F54F6A"/>
    <w:rsid w:val="00F61FDE"/>
    <w:rsid w:val="00F63DCF"/>
    <w:rsid w:val="00F80115"/>
    <w:rsid w:val="00F822D5"/>
    <w:rsid w:val="00F85C9A"/>
    <w:rsid w:val="00F86883"/>
    <w:rsid w:val="00F91638"/>
    <w:rsid w:val="00F974DA"/>
    <w:rsid w:val="00F979F4"/>
    <w:rsid w:val="00FB2DDA"/>
    <w:rsid w:val="00FB4642"/>
    <w:rsid w:val="00FC154F"/>
    <w:rsid w:val="00FD38CB"/>
    <w:rsid w:val="00FD7FE5"/>
    <w:rsid w:val="00FE1780"/>
    <w:rsid w:val="00FE41A1"/>
    <w:rsid w:val="00FE7CD8"/>
    <w:rsid w:val="00FF597B"/>
    <w:rsid w:val="174955B9"/>
    <w:rsid w:val="469317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2CE4"/>
  <w15:chartTrackingRefBased/>
  <w15:docId w15:val="{A3E56B8B-ADFD-42DD-8BDC-DEF5CA3B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46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4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4664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4664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64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64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64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64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64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64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4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4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64F"/>
    <w:pPr>
      <w:spacing w:before="160"/>
      <w:jc w:val="center"/>
    </w:pPr>
    <w:rPr>
      <w:i/>
      <w:iCs/>
      <w:color w:val="404040" w:themeColor="text1" w:themeTint="BF"/>
    </w:rPr>
  </w:style>
  <w:style w:type="character" w:customStyle="1" w:styleId="QuoteChar">
    <w:name w:val="Quote Char"/>
    <w:basedOn w:val="DefaultParagraphFont"/>
    <w:link w:val="Quote"/>
    <w:uiPriority w:val="29"/>
    <w:rsid w:val="0034664F"/>
    <w:rPr>
      <w:i/>
      <w:iCs/>
      <w:color w:val="404040" w:themeColor="text1" w:themeTint="BF"/>
      <w:lang w:val="en-GB"/>
    </w:rPr>
  </w:style>
  <w:style w:type="paragraph" w:styleId="ListParagraph">
    <w:name w:val="List Paragraph"/>
    <w:basedOn w:val="Normal"/>
    <w:uiPriority w:val="34"/>
    <w:qFormat/>
    <w:rsid w:val="0034664F"/>
    <w:pPr>
      <w:ind w:left="720"/>
      <w:contextualSpacing/>
    </w:pPr>
  </w:style>
  <w:style w:type="character" w:styleId="IntenseEmphasis">
    <w:name w:val="Intense Emphasis"/>
    <w:basedOn w:val="DefaultParagraphFont"/>
    <w:uiPriority w:val="21"/>
    <w:qFormat/>
    <w:rsid w:val="0034664F"/>
    <w:rPr>
      <w:i/>
      <w:iCs/>
      <w:color w:val="0F4761" w:themeColor="accent1" w:themeShade="BF"/>
    </w:rPr>
  </w:style>
  <w:style w:type="paragraph" w:styleId="IntenseQuote">
    <w:name w:val="Intense Quote"/>
    <w:basedOn w:val="Normal"/>
    <w:next w:val="Normal"/>
    <w:link w:val="IntenseQuoteChar"/>
    <w:uiPriority w:val="30"/>
    <w:qFormat/>
    <w:rsid w:val="00346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64F"/>
    <w:rPr>
      <w:i/>
      <w:iCs/>
      <w:color w:val="0F4761" w:themeColor="accent1" w:themeShade="BF"/>
      <w:lang w:val="en-GB"/>
    </w:rPr>
  </w:style>
  <w:style w:type="character" w:styleId="IntenseReference">
    <w:name w:val="Intense Reference"/>
    <w:basedOn w:val="DefaultParagraphFont"/>
    <w:uiPriority w:val="32"/>
    <w:qFormat/>
    <w:rsid w:val="0034664F"/>
    <w:rPr>
      <w:b/>
      <w:bCs/>
      <w:smallCaps/>
      <w:color w:val="0F4761" w:themeColor="accent1" w:themeShade="BF"/>
      <w:spacing w:val="5"/>
    </w:rPr>
  </w:style>
  <w:style w:type="character" w:styleId="PlaceholderText">
    <w:name w:val="Placeholder Text"/>
    <w:basedOn w:val="DefaultParagraphFont"/>
    <w:uiPriority w:val="99"/>
    <w:semiHidden/>
    <w:rsid w:val="000D724E"/>
    <w:rPr>
      <w:color w:val="666666"/>
    </w:rPr>
  </w:style>
  <w:style w:type="paragraph" w:styleId="NoSpacing">
    <w:name w:val="No Spacing"/>
    <w:link w:val="NoSpacingChar"/>
    <w:uiPriority w:val="1"/>
    <w:qFormat/>
    <w:rsid w:val="00CF67B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F67B3"/>
    <w:rPr>
      <w:rFonts w:eastAsiaTheme="minorEastAsia"/>
      <w:kern w:val="0"/>
      <w:sz w:val="22"/>
      <w:szCs w:val="22"/>
      <w14:ligatures w14:val="none"/>
    </w:rPr>
  </w:style>
  <w:style w:type="paragraph" w:styleId="Caption">
    <w:name w:val="caption"/>
    <w:basedOn w:val="Normal"/>
    <w:next w:val="Normal"/>
    <w:uiPriority w:val="35"/>
    <w:unhideWhenUsed/>
    <w:qFormat/>
    <w:rsid w:val="00F001E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C499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C499E"/>
    <w:pPr>
      <w:spacing w:after="100"/>
    </w:pPr>
  </w:style>
  <w:style w:type="paragraph" w:styleId="TOC2">
    <w:name w:val="toc 2"/>
    <w:basedOn w:val="Normal"/>
    <w:next w:val="Normal"/>
    <w:autoRedefine/>
    <w:uiPriority w:val="39"/>
    <w:unhideWhenUsed/>
    <w:rsid w:val="006C499E"/>
    <w:pPr>
      <w:spacing w:after="100"/>
      <w:ind w:left="240"/>
    </w:pPr>
  </w:style>
  <w:style w:type="character" w:styleId="Hyperlink">
    <w:name w:val="Hyperlink"/>
    <w:basedOn w:val="DefaultParagraphFont"/>
    <w:uiPriority w:val="99"/>
    <w:unhideWhenUsed/>
    <w:rsid w:val="006C499E"/>
    <w:rPr>
      <w:color w:val="467886" w:themeColor="hyperlink"/>
      <w:u w:val="single"/>
    </w:rPr>
  </w:style>
  <w:style w:type="paragraph" w:styleId="TableofFigures">
    <w:name w:val="table of figures"/>
    <w:basedOn w:val="Normal"/>
    <w:next w:val="Normal"/>
    <w:uiPriority w:val="99"/>
    <w:unhideWhenUsed/>
    <w:rsid w:val="009B233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277A6E64424371A95630DF0D476C39"/>
        <w:category>
          <w:name w:val="General"/>
          <w:gallery w:val="placeholder"/>
        </w:category>
        <w:types>
          <w:type w:val="bbPlcHdr"/>
        </w:types>
        <w:behaviors>
          <w:behavior w:val="content"/>
        </w:behaviors>
        <w:guid w:val="{5EA594FE-98B0-4891-A32F-896527C24372}"/>
      </w:docPartPr>
      <w:docPartBody>
        <w:p w:rsidR="00F65F70" w:rsidRDefault="00251138" w:rsidP="00251138">
          <w:pPr>
            <w:pStyle w:val="9A277A6E64424371A95630DF0D476C39"/>
          </w:pPr>
          <w:r>
            <w:rPr>
              <w:color w:val="0F4761" w:themeColor="accent1" w:themeShade="BF"/>
            </w:rPr>
            <w:t>[Company name]</w:t>
          </w:r>
        </w:p>
      </w:docPartBody>
    </w:docPart>
    <w:docPart>
      <w:docPartPr>
        <w:name w:val="FEFD6BF9E92D47ED803CB5567D0C4718"/>
        <w:category>
          <w:name w:val="General"/>
          <w:gallery w:val="placeholder"/>
        </w:category>
        <w:types>
          <w:type w:val="bbPlcHdr"/>
        </w:types>
        <w:behaviors>
          <w:behavior w:val="content"/>
        </w:behaviors>
        <w:guid w:val="{A0F1E013-D6F1-4DD8-B6A3-635B77C1E099}"/>
      </w:docPartPr>
      <w:docPartBody>
        <w:p w:rsidR="00F65F70" w:rsidRDefault="00251138" w:rsidP="00251138">
          <w:pPr>
            <w:pStyle w:val="FEFD6BF9E92D47ED803CB5567D0C4718"/>
          </w:pPr>
          <w:r>
            <w:rPr>
              <w:rFonts w:asciiTheme="majorHAnsi" w:eastAsiaTheme="majorEastAsia" w:hAnsiTheme="majorHAnsi" w:cstheme="majorBidi"/>
              <w:color w:val="156082" w:themeColor="accent1"/>
              <w:sz w:val="88"/>
              <w:szCs w:val="88"/>
            </w:rPr>
            <w:t>[Document title]</w:t>
          </w:r>
        </w:p>
      </w:docPartBody>
    </w:docPart>
    <w:docPart>
      <w:docPartPr>
        <w:name w:val="87D24445EBFF4E30A5B80C5577C89D17"/>
        <w:category>
          <w:name w:val="General"/>
          <w:gallery w:val="placeholder"/>
        </w:category>
        <w:types>
          <w:type w:val="bbPlcHdr"/>
        </w:types>
        <w:behaviors>
          <w:behavior w:val="content"/>
        </w:behaviors>
        <w:guid w:val="{444A3241-8893-49BC-8185-72D6368C864C}"/>
      </w:docPartPr>
      <w:docPartBody>
        <w:p w:rsidR="00F65F70" w:rsidRDefault="00251138" w:rsidP="00251138">
          <w:pPr>
            <w:pStyle w:val="87D24445EBFF4E30A5B80C5577C89D17"/>
          </w:pPr>
          <w:r>
            <w:rPr>
              <w:color w:val="0F4761" w:themeColor="accent1" w:themeShade="BF"/>
            </w:rPr>
            <w:t>[Document subtitle]</w:t>
          </w:r>
        </w:p>
      </w:docPartBody>
    </w:docPart>
    <w:docPart>
      <w:docPartPr>
        <w:name w:val="C92B3EA4885A432D994FC3CAE5D8119E"/>
        <w:category>
          <w:name w:val="General"/>
          <w:gallery w:val="placeholder"/>
        </w:category>
        <w:types>
          <w:type w:val="bbPlcHdr"/>
        </w:types>
        <w:behaviors>
          <w:behavior w:val="content"/>
        </w:behaviors>
        <w:guid w:val="{107BFFCB-A210-40D4-B08C-6F82285BA2BA}"/>
      </w:docPartPr>
      <w:docPartBody>
        <w:p w:rsidR="00F65F70" w:rsidRDefault="00251138" w:rsidP="00251138">
          <w:pPr>
            <w:pStyle w:val="C92B3EA4885A432D994FC3CAE5D8119E"/>
          </w:pPr>
          <w:r>
            <w:rPr>
              <w:color w:val="156082" w:themeColor="accent1"/>
              <w:sz w:val="28"/>
              <w:szCs w:val="28"/>
            </w:rPr>
            <w:t>[Author name]</w:t>
          </w:r>
        </w:p>
      </w:docPartBody>
    </w:docPart>
    <w:docPart>
      <w:docPartPr>
        <w:name w:val="B9A6ADDCB7234C88BF79986397944B2D"/>
        <w:category>
          <w:name w:val="General"/>
          <w:gallery w:val="placeholder"/>
        </w:category>
        <w:types>
          <w:type w:val="bbPlcHdr"/>
        </w:types>
        <w:behaviors>
          <w:behavior w:val="content"/>
        </w:behaviors>
        <w:guid w:val="{44C28E2D-E8AF-4D6E-8023-8A6A23E29297}"/>
      </w:docPartPr>
      <w:docPartBody>
        <w:p w:rsidR="00F65F70" w:rsidRDefault="00251138" w:rsidP="00251138">
          <w:pPr>
            <w:pStyle w:val="B9A6ADDCB7234C88BF79986397944B2D"/>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38"/>
    <w:rsid w:val="000610F8"/>
    <w:rsid w:val="00251138"/>
    <w:rsid w:val="00376795"/>
    <w:rsid w:val="00604CBB"/>
    <w:rsid w:val="00F65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1138"/>
    <w:rPr>
      <w:color w:val="666666"/>
    </w:rPr>
  </w:style>
  <w:style w:type="paragraph" w:customStyle="1" w:styleId="9A277A6E64424371A95630DF0D476C39">
    <w:name w:val="9A277A6E64424371A95630DF0D476C39"/>
    <w:rsid w:val="00251138"/>
  </w:style>
  <w:style w:type="paragraph" w:customStyle="1" w:styleId="FEFD6BF9E92D47ED803CB5567D0C4718">
    <w:name w:val="FEFD6BF9E92D47ED803CB5567D0C4718"/>
    <w:rsid w:val="00251138"/>
  </w:style>
  <w:style w:type="paragraph" w:customStyle="1" w:styleId="87D24445EBFF4E30A5B80C5577C89D17">
    <w:name w:val="87D24445EBFF4E30A5B80C5577C89D17"/>
    <w:rsid w:val="00251138"/>
  </w:style>
  <w:style w:type="paragraph" w:customStyle="1" w:styleId="C92B3EA4885A432D994FC3CAE5D8119E">
    <w:name w:val="C92B3EA4885A432D994FC3CAE5D8119E"/>
    <w:rsid w:val="00251138"/>
  </w:style>
  <w:style w:type="paragraph" w:customStyle="1" w:styleId="B9A6ADDCB7234C88BF79986397944B2D">
    <w:name w:val="B9A6ADDCB7234C88BF79986397944B2D"/>
    <w:rsid w:val="002511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18CEAF4F1FA74F84EA230852F6DC1C" ma:contentTypeVersion="3" ma:contentTypeDescription="Create a new document." ma:contentTypeScope="" ma:versionID="39d582762fdcb421c3f739cb46e59ad4">
  <xsd:schema xmlns:xsd="http://www.w3.org/2001/XMLSchema" xmlns:xs="http://www.w3.org/2001/XMLSchema" xmlns:p="http://schemas.microsoft.com/office/2006/metadata/properties" xmlns:ns2="4eb7bda1-3313-4337-81c4-da9bece76438" targetNamespace="http://schemas.microsoft.com/office/2006/metadata/properties" ma:root="true" ma:fieldsID="f2c308a861842f05ea2f71364bf739b9" ns2:_="">
    <xsd:import namespace="4eb7bda1-3313-4337-81c4-da9bece7643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7bda1-3313-4337-81c4-da9bece76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7DE661-98F9-40A9-AE4B-D089A0DAF109}">
  <ds:schemaRefs>
    <ds:schemaRef ds:uri="http://schemas.microsoft.com/sharepoint/v3/contenttype/forms"/>
  </ds:schemaRefs>
</ds:datastoreItem>
</file>

<file path=customXml/itemProps3.xml><?xml version="1.0" encoding="utf-8"?>
<ds:datastoreItem xmlns:ds="http://schemas.openxmlformats.org/officeDocument/2006/customXml" ds:itemID="{A2DE750A-78E5-4070-A0E0-8ABBB743D81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5B20D2-5263-4C65-8C79-2D2D5EC90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b7bda1-3313-4337-81c4-da9bece76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37E74EC-C945-499B-A51F-04F72C42A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3136</Words>
  <Characters>18818</Characters>
  <Application>Microsoft Office Word</Application>
  <DocSecurity>0</DocSecurity>
  <Lines>495</Lines>
  <Paragraphs>267</Paragraphs>
  <ScaleCrop>false</ScaleCrop>
  <Company>Warwick Business School</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Risk Analysis</dc:title>
  <dc:subject>Policy Evaluation, Borrower Segmentation and Deep Learning for Default Prediction</dc:subject>
  <dc:creator>Group 20</dc:creator>
  <cp:keywords/>
  <dc:description/>
  <cp:lastModifiedBy>ASSAAD, ZAINAB (PGT)</cp:lastModifiedBy>
  <cp:revision>148</cp:revision>
  <dcterms:created xsi:type="dcterms:W3CDTF">2026-03-19T00:33:00Z</dcterms:created>
  <dcterms:modified xsi:type="dcterms:W3CDTF">2026-03-22T20:06:00Z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0x0101003918CEAF4F1FA74F84EA230852F6DC1C</vt:lpwstr>
  </property>
</Properties>
</file>