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0B11" w14:textId="77777777" w:rsidR="00E42852" w:rsidRDefault="008C7ADD">
      <w:pPr>
        <w:pStyle w:val="Title"/>
      </w:pPr>
      <w:r>
        <w:t>Lay Perceptions of Scientific Findings: Swayed by the Crowd?</w:t>
      </w:r>
    </w:p>
    <w:p w14:paraId="6D524C70" w14:textId="77777777" w:rsidR="00E42852" w:rsidRDefault="008C7ADD">
      <w:pPr>
        <w:pStyle w:val="Author"/>
      </w:pPr>
      <w:r>
        <w:t>Shilaan Alzahawi</w:t>
      </w:r>
      <w:r>
        <w:rPr>
          <w:vertAlign w:val="superscript"/>
        </w:rPr>
        <w:t>1</w:t>
      </w:r>
      <w:r>
        <w:t> &amp; Benoît Monin</w:t>
      </w:r>
      <w:r>
        <w:rPr>
          <w:vertAlign w:val="superscript"/>
        </w:rPr>
        <w:t>1</w:t>
      </w:r>
    </w:p>
    <w:p w14:paraId="094B468C" w14:textId="77777777" w:rsidR="00E42852" w:rsidRDefault="008C7ADD">
      <w:pPr>
        <w:pStyle w:val="Author"/>
      </w:pPr>
      <w:r>
        <w:rPr>
          <w:vertAlign w:val="superscript"/>
        </w:rPr>
        <w:t>1</w:t>
      </w:r>
      <w:r>
        <w:t xml:space="preserve"> Stanford University, Graduate School of Business</w:t>
      </w:r>
    </w:p>
    <w:p w14:paraId="27DE2507" w14:textId="77777777" w:rsidR="00E42852" w:rsidRDefault="008C7ADD">
      <w:pPr>
        <w:pStyle w:val="BodyText"/>
      </w:pPr>
      <w:r>
        <w:t>                                                                                                                                                    </w:t>
      </w:r>
    </w:p>
    <w:p w14:paraId="103F51EA" w14:textId="77777777" w:rsidR="00E42852" w:rsidRDefault="008C7ADD">
      <w:pPr>
        <w:pStyle w:val="BodyText"/>
      </w:pPr>
      <w:r>
        <w:t> </w:t>
      </w:r>
    </w:p>
    <w:p w14:paraId="683645B6" w14:textId="77777777" w:rsidR="00E42852" w:rsidRDefault="008C7ADD">
      <w:pPr>
        <w:pStyle w:val="BodyText"/>
      </w:pPr>
      <w:r>
        <w:t> </w:t>
      </w:r>
    </w:p>
    <w:p w14:paraId="051D50CE" w14:textId="77777777" w:rsidR="00E42852" w:rsidRDefault="008C7ADD">
      <w:pPr>
        <w:pStyle w:val="BodyText"/>
      </w:pPr>
      <w:r>
        <w:t> </w:t>
      </w:r>
    </w:p>
    <w:p w14:paraId="50B1A1B6" w14:textId="77777777" w:rsidR="00E42852" w:rsidRDefault="008C7ADD">
      <w:pPr>
        <w:pStyle w:val="BodyText"/>
      </w:pPr>
      <w:r>
        <w:t> </w:t>
      </w:r>
    </w:p>
    <w:p w14:paraId="4995A9C5" w14:textId="77777777" w:rsidR="00E42852" w:rsidRDefault="008C7ADD">
      <w:pPr>
        <w:pStyle w:val="BodyText"/>
      </w:pPr>
      <w:r>
        <w:t> </w:t>
      </w:r>
    </w:p>
    <w:p w14:paraId="0D9EBE90" w14:textId="77777777" w:rsidR="00E42852" w:rsidRDefault="008C7ADD">
      <w:pPr>
        <w:pStyle w:val="BodyText"/>
      </w:pPr>
      <w:r>
        <w:t> </w:t>
      </w:r>
    </w:p>
    <w:p w14:paraId="1E01658B" w14:textId="77777777" w:rsidR="00E42852" w:rsidRDefault="008C7ADD">
      <w:pPr>
        <w:pStyle w:val="Author"/>
      </w:pPr>
      <w:r>
        <w:t>Author note</w:t>
      </w:r>
    </w:p>
    <w:p w14:paraId="36A1470F" w14:textId="77777777" w:rsidR="00E42852" w:rsidRDefault="008C7ADD">
      <w:pPr>
        <w:pStyle w:val="BodyText"/>
      </w:pPr>
      <w:r>
        <w:t xml:space="preserve">Correspondence concerning this article should be addressed to Shilaan Alzahawi, 655 Knight Way, Stanford, CA 94305. E-mail: </w:t>
      </w:r>
      <w:hyperlink r:id="rId7">
        <w:r>
          <w:rPr>
            <w:rStyle w:val="Hyperlink"/>
          </w:rPr>
          <w:t>shilaan@stanford.edu</w:t>
        </w:r>
      </w:hyperlink>
    </w:p>
    <w:p w14:paraId="642FE1D0" w14:textId="77777777" w:rsidR="00E42852" w:rsidRDefault="008C7ADD">
      <w:pPr>
        <w:pStyle w:val="h1-pagebreak"/>
      </w:pPr>
      <w:r>
        <w:lastRenderedPageBreak/>
        <w:t>Abstract</w:t>
      </w:r>
    </w:p>
    <w:p w14:paraId="1BF6E0D3" w14:textId="77777777" w:rsidR="00E42852" w:rsidRDefault="008C7ADD">
      <w:pPr>
        <w:pStyle w:val="BodyText"/>
      </w:pPr>
      <w:r>
        <w:t>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691BC695" w14:textId="77777777" w:rsidR="00E42852" w:rsidRDefault="008C7ADD">
      <w:pPr>
        <w:pStyle w:val="BodyText"/>
      </w:pPr>
      <w:r>
        <w:rPr>
          <w:i/>
          <w:iCs/>
        </w:rPr>
        <w:t>Keywords:</w:t>
      </w:r>
      <w:r>
        <w:t xml:space="preserve"> Crowd science, Many analysts, Multi-analyst, Variability, Research credibility</w:t>
      </w:r>
    </w:p>
    <w:p w14:paraId="699E2A5A" w14:textId="77777777" w:rsidR="00E42852" w:rsidRDefault="008C7ADD">
      <w:pPr>
        <w:pStyle w:val="BodyText"/>
      </w:pPr>
      <w:r>
        <w:rPr>
          <w:i/>
          <w:iCs/>
        </w:rPr>
        <w:t>Word count:</w:t>
      </w:r>
      <w:r>
        <w:t xml:space="preserve"> 2,222</w:t>
      </w:r>
    </w:p>
    <w:p w14:paraId="73CBB1EF" w14:textId="77777777" w:rsidR="00E42852" w:rsidRDefault="008C7ADD">
      <w:pPr>
        <w:pStyle w:val="h1-pagebreak"/>
      </w:pPr>
      <w:r>
        <w:lastRenderedPageBreak/>
        <w:t>Lay Perceptions of Scientific Findings: Swayed by the Crowd?</w:t>
      </w:r>
    </w:p>
    <w:p w14:paraId="68760599" w14:textId="3AB4B3ED" w:rsidR="00E42852" w:rsidRDefault="008C7ADD" w:rsidP="00D4545D">
      <w:pPr>
        <w:pStyle w:val="BodyText"/>
        <w:ind w:firstLine="0"/>
      </w:pPr>
      <w:r>
        <w:t>The credibility of scientific research is in doubt, among lay consumer (Hornsey &amp; Fielding, 2017) and scientist (Pashler &amp; Wagenmakers, 2012) alike. Several tools have been proposed to combat this “crisis of confidence” (Ibid., p. 528). One such tool is the crowd science approach: “the organization of scientific research in open and collaborative projects” (Franzoni &amp; Sauermann, 2014, p. 1). We focus on crowdsourced data analysis, also known as the ‘many analysts’ or ‘multi-analyst’ approach: a crowd of scientists independently analyzes the same dataset to estimate and report on a parameter of interest.</w:t>
      </w:r>
      <w:r>
        <w:br/>
      </w:r>
      <w:r w:rsidR="00D4545D">
        <w:tab/>
      </w:r>
      <w:r>
        <w:t>According to some of its proponents, crowdsourced data analysis should increase the credibility of scientific findings to lay consumers. In the preregistration of an ongoing many-analysts study, Arbon and colleagues (2019) justify their use of the novel approach by referring to the need for “the public to have faith in the conclusions of scientists.” In a preprint of a conducted multi-analyst study, Breznau and colleagues (2021, p. 3) argue that independent data analyses with converging findings should offer “consumers of scientific findings assurance that they are not arbitrary flukes.” In a commentary on the many analysts approach, Breznau (2021, p. 311), offers the hopeful view that crowdsourcing is a new way to “increase public, private, and government views of social science” and to “increase credibility for political and social research—in both sample populations and among the researchers themselves.” Does crowd science meet this promise – to improve lay perceptions of scientific findings – in reality?</w:t>
      </w:r>
      <w:r>
        <w:br/>
      </w:r>
      <w:r w:rsidR="00A91EAD">
        <w:tab/>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w:t>
      </w:r>
      <w:r>
        <w:lastRenderedPageBreak/>
        <w:t>leading to the same qualitative conclusion (the consistent crowd condition) or (b) vary widely and are of both signs, leading to differing qualitative conclusions (the inconsistent crowd condition).</w:t>
      </w:r>
      <w:r>
        <w:br/>
      </w:r>
      <w:r w:rsidR="00CB68B9">
        <w:tab/>
      </w:r>
      <w:r>
        <w:t>In line with social norms theory (Miller &amp; Prentice, 2016), we expect that observing consensus among a crowd (the consistent crowd condition) will – compared to the conclusion of a single scientist (the single estimate condition) – increase conformity in opinion. Drawing from work on intuitive statistics (Gigerenzer &amp; Murray, 2015), we also expect laypeople to intuitively accord to the logic of “the wisdom of crowds”: the ability of an aggregate of estimates (rather than a single estimate) to reduce noise stemming from individual bias or error (Schweinsberg et al., 2021).</w:t>
      </w:r>
      <w:r>
        <w:br/>
      </w:r>
      <w:r w:rsidR="00735D50">
        <w:tab/>
      </w:r>
      <w:r>
        <w:t>In contrast, when crowd estimates show low consensus and high variance (the inconsistent crowd condition), we predict that observers will be less swayed and more likely to attribute the findings to bias and error. In addition, due to the difficulty of lay reasoning about variation (Garfield &amp; Ben-Zvi, 2004),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F87D02">
        <w:rPr>
          <w:b/>
          <w:bCs/>
        </w:rPr>
        <w:tab/>
      </w:r>
      <w:r w:rsidR="00F87D02">
        <w:rPr>
          <w:b/>
          <w:bCs/>
        </w:rPr>
        <w:tab/>
      </w:r>
      <w:r w:rsidR="00F87D02">
        <w:rPr>
          <w:b/>
          <w:bCs/>
        </w:rPr>
        <w:tab/>
      </w:r>
      <w:r w:rsidR="00F87D02">
        <w:rPr>
          <w:b/>
          <w:bCs/>
        </w:rPr>
        <w:tab/>
      </w:r>
      <w:r w:rsidR="00F87D02">
        <w:rPr>
          <w:b/>
          <w:bCs/>
        </w:rPr>
        <w:tab/>
      </w:r>
      <w:r>
        <w:rPr>
          <w:b/>
          <w:bCs/>
        </w:rPr>
        <w:t>[Insert Table 1 here]</w:t>
      </w:r>
      <w:r>
        <w:br/>
        <w:t>Our pre-registered hypotheses (</w:t>
      </w:r>
      <w:hyperlink r:id="rId8">
        <w:r>
          <w:rPr>
            <w:rStyle w:val="Hyperlink"/>
          </w:rPr>
          <w:t>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w:t>
      </w:r>
      <w:r>
        <w:lastRenderedPageBreak/>
        <w:t>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rsidR="00A76FCC">
        <w:tab/>
      </w:r>
      <w:r>
        <w:t>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p w14:paraId="12C1AE74" w14:textId="77777777" w:rsidR="00E42852" w:rsidRDefault="008C7ADD">
      <w:pPr>
        <w:pStyle w:val="Heading1"/>
      </w:pPr>
      <w:bookmarkStart w:id="0" w:name="methods"/>
      <w:r>
        <w:t>Methods</w:t>
      </w:r>
    </w:p>
    <w:p w14:paraId="2B4E52E3" w14:textId="77777777" w:rsidR="00E42852" w:rsidRDefault="008C7ADD" w:rsidP="004F6FAF">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76CE9186" w14:textId="77777777" w:rsidR="00E42852" w:rsidRDefault="008C7ADD">
      <w:pPr>
        <w:pStyle w:val="Heading2"/>
      </w:pPr>
      <w:bookmarkStart w:id="1" w:name="participants"/>
      <w:r>
        <w:t>Participants</w:t>
      </w:r>
    </w:p>
    <w:p w14:paraId="6DB1B152" w14:textId="77777777" w:rsidR="00E42852" w:rsidRDefault="008C7ADD" w:rsidP="004F6FAF">
      <w:pPr>
        <w:pStyle w:val="FirstParagraph"/>
        <w:ind w:firstLine="0"/>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w:t>
      </w:r>
      <w:r>
        <w:lastRenderedPageBreak/>
        <w:t>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p w14:paraId="54EC8981" w14:textId="77777777" w:rsidR="00E42852" w:rsidRDefault="008C7ADD">
      <w:pPr>
        <w:pStyle w:val="Heading2"/>
      </w:pPr>
      <w:bookmarkStart w:id="2" w:name="procedure-and-materials"/>
      <w:bookmarkEnd w:id="1"/>
      <w:r>
        <w:t>Procedure and materials</w:t>
      </w:r>
    </w:p>
    <w:p w14:paraId="1163F74D" w14:textId="60C2BDE2" w:rsidR="00E42852" w:rsidRDefault="008C7ADD" w:rsidP="003713CC">
      <w:pPr>
        <w:pStyle w:val="FirstParagraph"/>
        <w:ind w:firstLine="0"/>
      </w:pPr>
      <w:r>
        <w:t xml:space="preserve">All survey materials can be found on the OSF at </w:t>
      </w:r>
      <w:hyperlink r:id="rId12">
        <w:r>
          <w:rPr>
            <w:rStyle w:val="Hyperlink"/>
          </w:rPr>
          <w:t>https://osf.io/md9z5/</w:t>
        </w:r>
      </w:hyperlink>
      <w:r>
        <w:t>.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likely).</w:t>
      </w:r>
      <w:r>
        <w:br/>
      </w:r>
      <w:r w:rsidR="003713CC">
        <w:tab/>
      </w:r>
      <w:r>
        <w:t>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w:rPr>
            <w:rFonts w:ascii="Cambria Math" w:hAnsi="Cambria Math"/>
          </w:rPr>
          <m:t>σ</m:t>
        </m:r>
      </m:oMath>
      <w:r>
        <w:t xml:space="preserve"> = 2%); and in the inconsistent crowd condition, six independent researchers report six inconsistent estimates (-6%, -2%, 5%, 5%, 12%, and 16%, respectively) that average to 5% (</w:t>
      </w:r>
      <m:oMath>
        <m:r>
          <w:rPr>
            <w:rFonts w:ascii="Cambria Math" w:hAnsi="Cambria Math"/>
          </w:rPr>
          <m:t>σ</m:t>
        </m:r>
      </m:oMath>
      <w:r>
        <w:t xml:space="preserve"> = 8.25%).</w:t>
      </w:r>
      <w:r>
        <w:br/>
      </w:r>
      <w:r w:rsidR="005839B4">
        <w:tab/>
      </w:r>
      <w:r>
        <w:t>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p w14:paraId="43130BDB" w14:textId="77777777" w:rsidR="00E42852" w:rsidRDefault="008C7ADD">
      <w:pPr>
        <w:pStyle w:val="Heading2"/>
      </w:pPr>
      <w:bookmarkStart w:id="3" w:name="data-analysis"/>
      <w:bookmarkEnd w:id="2"/>
      <w:r>
        <w:lastRenderedPageBreak/>
        <w:t>Data analysis</w:t>
      </w:r>
    </w:p>
    <w:p w14:paraId="4CBAA3F4" w14:textId="77777777" w:rsidR="00E42852" w:rsidRDefault="008C7ADD" w:rsidP="003D7F12">
      <w:pPr>
        <w:pStyle w:val="FirstParagraph"/>
        <w:ind w:firstLine="0"/>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 </w:t>
      </w:r>
      <w:hyperlink r:id="rId13">
        <w:r>
          <w:rPr>
            <w:rStyle w:val="Hyperlink"/>
          </w:rPr>
          <w:t>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2F30A7DA" w14:textId="77777777" w:rsidR="00E42852" w:rsidRDefault="008C7ADD">
      <w:pPr>
        <w:pStyle w:val="Heading1"/>
      </w:pPr>
      <w:bookmarkStart w:id="4" w:name="results"/>
      <w:bookmarkEnd w:id="0"/>
      <w:bookmarkEnd w:id="3"/>
      <w:r>
        <w:t>Results</w:t>
      </w:r>
    </w:p>
    <w:p w14:paraId="78A4125C" w14:textId="171B27DD" w:rsidR="00E42852" w:rsidRDefault="008C7ADD" w:rsidP="00BC6DC1">
      <w:pPr>
        <w:pStyle w:val="FirstParagraph"/>
        <w:ind w:firstLine="0"/>
      </w:pPr>
      <w:r>
        <w:t>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rsidR="00876CFD">
        <w:tab/>
      </w:r>
      <w:r>
        <w:t xml:space="preserve">Figure 1 displays the main findings of our linear regression models, which compare each condition to the single estimate condition and control for prior beliefs. For the inconsistent crowd condition, we found significantly lower (a) posterior beliefs,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(b) ratings of credibility,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 confidence in the effect size estimate,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w:lastRenderedPageBreak/>
          <m:t>.001</m:t>
        </m:r>
      </m:oMath>
      <w:r>
        <w:t xml:space="preserve">; and significantly higher ratings of (d) bias,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(e) error,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(f) discretion,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1F019E">
        <w:tab/>
      </w:r>
      <w:r>
        <w:t xml:space="preserve">For the consistent crowd condition, we found significantly lower (a) posterior beliefs,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significantly higher ratings of (b) error,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(c) discretion,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no significant effects on (d) ratings of credibility,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(e) confidence in the effect size estimate,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or (f) ratings of bias,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w:t>
      </w:r>
      <w:r>
        <w:br/>
      </w:r>
      <w:r w:rsidR="00360996">
        <w:rPr>
          <w:b/>
          <w:bCs/>
        </w:rPr>
        <w:tab/>
      </w:r>
      <w:r w:rsidR="00360996">
        <w:rPr>
          <w:b/>
          <w:bCs/>
        </w:rPr>
        <w:tab/>
      </w:r>
      <w:r w:rsidR="00360996">
        <w:rPr>
          <w:b/>
          <w:bCs/>
        </w:rPr>
        <w:tab/>
      </w:r>
      <w:r w:rsidR="00360996">
        <w:rPr>
          <w:b/>
          <w:bCs/>
        </w:rPr>
        <w:tab/>
      </w:r>
      <w:r w:rsidR="00360996">
        <w:rPr>
          <w:b/>
          <w:bCs/>
        </w:rPr>
        <w:tab/>
      </w:r>
      <w:r>
        <w:rPr>
          <w:b/>
          <w:bCs/>
        </w:rPr>
        <w:t>[Insert Figure 1 here]</w:t>
      </w:r>
      <w:r>
        <w:br/>
        <w:t>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sidR="00486BED">
        <w:rPr>
          <w:b/>
          <w:bCs/>
        </w:rPr>
        <w:tab/>
      </w:r>
      <w:r w:rsidR="00486BED">
        <w:rPr>
          <w:b/>
          <w:bCs/>
        </w:rPr>
        <w:tab/>
      </w:r>
      <w:r w:rsidR="00486BED">
        <w:rPr>
          <w:b/>
          <w:bCs/>
        </w:rPr>
        <w:tab/>
      </w:r>
      <w:r w:rsidR="00486BED">
        <w:rPr>
          <w:b/>
          <w:bCs/>
        </w:rPr>
        <w:tab/>
      </w:r>
      <w:r w:rsidR="00486BED">
        <w:rPr>
          <w:b/>
          <w:bCs/>
        </w:rPr>
        <w:tab/>
      </w:r>
      <w:r>
        <w:rPr>
          <w:b/>
          <w:bCs/>
        </w:rPr>
        <w:t>[Insert Figure 2 here]</w:t>
      </w:r>
      <w:r>
        <w:br/>
        <w:t xml:space="preserve">It is worth noting on the basis of Figure 2 and a post-hoc, paired </w:t>
      </w:r>
      <w:r>
        <w:rPr>
          <w:i/>
          <w:iCs/>
        </w:rPr>
        <w:t>t</w:t>
      </w:r>
      <w:r>
        <w:t xml:space="preserve">-test that, while multi-analyst studies with consistent results perform worse or no better than single-analyst studies on all </w:t>
      </w:r>
      <w:r>
        <w:lastRenderedPageBreak/>
        <w:t>measures, there is a positive difference between prior and posterior beliefs within the consistent crowd condition: i.e., beliefs in the research hypothesis are greater after consuming consistent crowd estimates</w:t>
      </w:r>
      <w:r w:rsidR="006E67B8">
        <w:t xml:space="preserve">,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rsidR="006E67B8">
        <w:t xml:space="preserve">, 95% CI </w:t>
      </w:r>
      <m:oMath>
        <m:r>
          <m:rPr>
            <m:sty m:val="p"/>
          </m:rPr>
          <w:rPr>
            <w:rFonts w:ascii="Cambria Math" w:hAnsi="Cambria Math"/>
          </w:rPr>
          <m:t>[</m:t>
        </m:r>
        <m:r>
          <w:rPr>
            <w:rFonts w:ascii="Cambria Math" w:hAnsi="Cambria Math"/>
          </w:rPr>
          <m:t>2.55</m:t>
        </m:r>
        <m:r>
          <m:rPr>
            <m:sty m:val="p"/>
          </m:rPr>
          <w:rPr>
            <w:rFonts w:ascii="Cambria Math" w:hAnsi="Cambria Math"/>
          </w:rPr>
          <m:t>,</m:t>
        </m:r>
        <m:r>
          <w:rPr>
            <w:rFonts w:ascii="Cambria Math" w:hAnsi="Cambria Math"/>
          </w:rPr>
          <m:t>6.95</m:t>
        </m:r>
        <m:r>
          <m:rPr>
            <m:sty m:val="p"/>
          </m:rPr>
          <w:rPr>
            <w:rFonts w:ascii="Cambria Math" w:hAnsi="Cambria Math"/>
          </w:rPr>
          <m:t>]</m:t>
        </m:r>
      </m:oMath>
      <w:r w:rsidR="006E67B8">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6E67B8">
        <w:t xml:space="preserve">. </w:t>
      </w:r>
      <w:r>
        <w:t>This finding clarifies that a consistent crowd may sway observers — however, compared to a conventional, non-crowdsourced estimate, crowd estimates do not seem to improve lay perceptions of scientific findings.</w:t>
      </w:r>
    </w:p>
    <w:p w14:paraId="49614E27" w14:textId="77777777" w:rsidR="00E42852" w:rsidRDefault="008C7ADD">
      <w:pPr>
        <w:pStyle w:val="Heading1"/>
      </w:pPr>
      <w:bookmarkStart w:id="5" w:name="discussion"/>
      <w:bookmarkEnd w:id="4"/>
      <w:r>
        <w:t>Discussion</w:t>
      </w:r>
    </w:p>
    <w:p w14:paraId="35001C63" w14:textId="5356F073" w:rsidR="00E42852" w:rsidRDefault="008C7ADD" w:rsidP="00467E1E">
      <w:pPr>
        <w:pStyle w:val="FirstParagraph"/>
        <w:ind w:firstLine="0"/>
      </w:pPr>
      <w:r>
        <w:t xml:space="preserve">Every day, important scientific findings are rejected at large. From man-made climate change to the safety and efficacy of Covid-19 vaccinations, science skepticism has run rampant among lay consumers in modern society (Hornsey &amp; Fielding, 2017). To increase public faith in science, some have proposed the use of crowd science (Silberzahn et al., 2018; Uhlmann et al., 2019).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 (Jick, 1979; Turner, Cardinal, &amp; Burton, 2017), and to provide a “sensitivity analysis” or “robustness checks” to examine whether and how the findings change as a result of alternative analytic specifications (Muñoz &amp; Young, 2018; Steegen, Tuerlinckx, Gelman, &amp; Vanpaemel, 2016). As argued in Aczel et al. (2020, p. 562), “The main argument for the importance of performing robustness checks over reasonable variations in modelling choices is to increase confidence in the obtained results.” The same argument has been made for triangulation, which, according to Jick (1979, p. 608), “allows researchers to be more confident of their results.” Drawing from theories on social norms and numerical cognition, we similarly expected lay consumers of multi-analyst studies with </w:t>
      </w:r>
      <w:r>
        <w:lastRenderedPageBreak/>
        <w:t>consistent findings to be more confident in the results.</w:t>
      </w:r>
      <w:r>
        <w:br/>
      </w:r>
      <w:r w:rsidR="00CA2481">
        <w:rPr>
          <w:b/>
          <w:bCs/>
        </w:rPr>
        <w:tab/>
      </w:r>
      <w:r w:rsidR="00CA2481">
        <w:rPr>
          <w:b/>
          <w:bCs/>
        </w:rPr>
        <w:tab/>
      </w:r>
      <w:r w:rsidR="00CA2481">
        <w:rPr>
          <w:b/>
          <w:bCs/>
        </w:rPr>
        <w:tab/>
      </w:r>
      <w:r w:rsidR="00CA2481">
        <w:rPr>
          <w:b/>
          <w:bCs/>
        </w:rPr>
        <w:tab/>
      </w:r>
      <w:r w:rsidR="00CA2481">
        <w:rPr>
          <w:b/>
          <w:bCs/>
        </w:rPr>
        <w:tab/>
      </w:r>
      <w:r>
        <w:rPr>
          <w:b/>
          <w:bCs/>
        </w:rPr>
        <w:t>[Insert Table 2 here]</w:t>
      </w:r>
      <w:r>
        <w:br/>
        <w:t>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p w14:paraId="49536084" w14:textId="1EAA81A5" w:rsidR="003B1034" w:rsidRDefault="003B1034" w:rsidP="003B1034">
      <w:pPr>
        <w:pStyle w:val="BodyText"/>
      </w:pPr>
    </w:p>
    <w:p w14:paraId="0E3C5AAE" w14:textId="5D5F43B0" w:rsidR="003B1034" w:rsidRDefault="003B1034" w:rsidP="003B1034">
      <w:pPr>
        <w:pStyle w:val="BodyText"/>
      </w:pPr>
    </w:p>
    <w:p w14:paraId="2AB4AC21" w14:textId="18A2E1A6" w:rsidR="003B1034" w:rsidRDefault="003B1034" w:rsidP="003B1034">
      <w:pPr>
        <w:pStyle w:val="BodyText"/>
      </w:pPr>
    </w:p>
    <w:p w14:paraId="3BB76397" w14:textId="77777777" w:rsidR="003B1034" w:rsidRPr="003B1034" w:rsidRDefault="003B1034" w:rsidP="003B1034">
      <w:pPr>
        <w:pStyle w:val="BodyText"/>
      </w:pPr>
    </w:p>
    <w:p w14:paraId="604DE338" w14:textId="77777777" w:rsidR="00E42852" w:rsidRDefault="008C7ADD">
      <w:pPr>
        <w:pStyle w:val="Heading2"/>
      </w:pPr>
      <w:bookmarkStart w:id="6" w:name="acknowledgements"/>
      <w:r>
        <w:lastRenderedPageBreak/>
        <w:t>Acknowledgements</w:t>
      </w:r>
    </w:p>
    <w:p w14:paraId="2712D2B5" w14:textId="77777777" w:rsidR="00E42852" w:rsidRDefault="008C7ADD" w:rsidP="00040B06">
      <w:pPr>
        <w:pStyle w:val="FirstParagraph"/>
        <w:ind w:firstLine="0"/>
      </w:pPr>
      <w:r>
        <w:t xml:space="preserve">We thank Nicole Clare Kolmstetter for valuable assistance in the data collection. This manuscript was created using R (Version 4.0.5; R Core Team, 2021) and the R-packages </w:t>
      </w:r>
      <w:r>
        <w:rPr>
          <w:i/>
          <w:iCs/>
        </w:rPr>
        <w:t>broom</w:t>
      </w:r>
      <w:r>
        <w:t xml:space="preserve"> (Version 0.7.10.9000; Robinson, Hayes, &amp; Couch, 2021), </w:t>
      </w:r>
      <w:r>
        <w:rPr>
          <w:i/>
          <w:iCs/>
        </w:rPr>
        <w:t>dplyr</w:t>
      </w:r>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r>
        <w:rPr>
          <w:i/>
          <w:iCs/>
        </w:rPr>
        <w:t>icons</w:t>
      </w:r>
      <w:r>
        <w:t xml:space="preserve"> (Version 0.2.0; O’Hara-Wild, 2021), </w:t>
      </w:r>
      <w:r>
        <w:rPr>
          <w:i/>
          <w:iCs/>
        </w:rPr>
        <w:t>papaja</w:t>
      </w:r>
      <w:r>
        <w:t xml:space="preserve"> (Version 0.1.0.9997; Aust &amp; Barth, 2020), </w:t>
      </w:r>
      <w:r>
        <w:rPr>
          <w:i/>
          <w:iCs/>
        </w:rPr>
        <w:t>purrr</w:t>
      </w:r>
      <w:r>
        <w:t xml:space="preserve"> (Version 0.3.4; Henry &amp; Wickham, 2020), </w:t>
      </w:r>
      <w:r>
        <w:rPr>
          <w:i/>
          <w:iCs/>
        </w:rPr>
        <w:t>raincloudplots</w:t>
      </w:r>
      <w:r>
        <w:t xml:space="preserve"> (Version 0.2.0; Allen et al., 2021), </w:t>
      </w:r>
      <w:r>
        <w:rPr>
          <w:i/>
          <w:iCs/>
        </w:rPr>
        <w:t>readr</w:t>
      </w:r>
      <w:r>
        <w:t xml:space="preserve"> (Version 1.4.0; Wickham &amp; Hester, 2020), </w:t>
      </w:r>
      <w:r>
        <w:rPr>
          <w:i/>
          <w:iCs/>
        </w:rPr>
        <w:t>rmarkdown</w:t>
      </w:r>
      <w:r>
        <w:t xml:space="preserve"> (Version 2.11; Xie, Allaire, &amp; Grolemund, 2018; Xie, Dervieux, &amp; Riederer, 2020), </w:t>
      </w:r>
      <w:r>
        <w:rPr>
          <w:i/>
          <w:iCs/>
        </w:rPr>
        <w:t>rsvg</w:t>
      </w:r>
      <w:r>
        <w:t xml:space="preserve"> (Version 2.1.2; Ooms, 2021), and </w:t>
      </w:r>
      <w:r>
        <w:rPr>
          <w:i/>
          <w:iCs/>
        </w:rPr>
        <w:t>tinylabels</w:t>
      </w:r>
      <w:r>
        <w:t xml:space="preserve"> (Version 0.2.1; Barth, 2021).</w:t>
      </w:r>
    </w:p>
    <w:p w14:paraId="182A2ACB" w14:textId="77777777" w:rsidR="00E42852" w:rsidRDefault="008C7ADD">
      <w:pPr>
        <w:pStyle w:val="Heading2"/>
      </w:pPr>
      <w:bookmarkStart w:id="7" w:name="disclosure-statement"/>
      <w:bookmarkEnd w:id="6"/>
      <w:r>
        <w:t>Disclosure statement</w:t>
      </w:r>
    </w:p>
    <w:p w14:paraId="24B87AB3" w14:textId="77777777" w:rsidR="00E42852" w:rsidRDefault="008C7ADD" w:rsidP="00040B06">
      <w:pPr>
        <w:pStyle w:val="FirstParagraph"/>
        <w:ind w:firstLine="0"/>
      </w:pPr>
      <w:r>
        <w:t>There are no relevant financial or non-financial competing interests to report.</w:t>
      </w:r>
    </w:p>
    <w:p w14:paraId="5447ED68" w14:textId="77777777" w:rsidR="00E42852" w:rsidRDefault="008C7ADD">
      <w:pPr>
        <w:pStyle w:val="Heading2"/>
      </w:pPr>
      <w:bookmarkStart w:id="8" w:name="data-availability-statement"/>
      <w:bookmarkEnd w:id="7"/>
      <w:r>
        <w:t>Data availability statement</w:t>
      </w:r>
    </w:p>
    <w:p w14:paraId="666B9A74" w14:textId="77777777" w:rsidR="00E42852" w:rsidRDefault="008C7ADD" w:rsidP="00040B06">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49112EA7" w14:textId="77777777" w:rsidR="00E42852" w:rsidRDefault="008C7ADD">
      <w:r>
        <w:br w:type="page"/>
      </w:r>
    </w:p>
    <w:p w14:paraId="3337A6B1" w14:textId="77777777" w:rsidR="00E42852" w:rsidRDefault="008C7ADD">
      <w:pPr>
        <w:pStyle w:val="Heading1"/>
      </w:pPr>
      <w:bookmarkStart w:id="9" w:name="references"/>
      <w:bookmarkEnd w:id="5"/>
      <w:bookmarkEnd w:id="8"/>
      <w:r>
        <w:lastRenderedPageBreak/>
        <w:t>References</w:t>
      </w:r>
    </w:p>
    <w:p w14:paraId="7902AEF6" w14:textId="77777777" w:rsidR="00E42852" w:rsidRDefault="008C7ADD">
      <w:pPr>
        <w:pStyle w:val="Bibliography"/>
      </w:pPr>
      <w:bookmarkStart w:id="10" w:name="ref-aczel2020"/>
      <w:bookmarkStart w:id="11" w:name="refs"/>
      <w:r>
        <w:t xml:space="preserve">Aczel, B., Hoekstra, R., Gelman, A., Wagenmakers, E.-J., Klugkist, I. G., Rouder, J. N.,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76FF0B53" w14:textId="77777777" w:rsidR="00E42852" w:rsidRDefault="008C7ADD">
      <w:pPr>
        <w:pStyle w:val="Bibliography"/>
      </w:pPr>
      <w:bookmarkStart w:id="12" w:name="ref-aczel2021"/>
      <w:bookmarkEnd w:id="10"/>
      <w:r>
        <w:t xml:space="preserve">Aczel, B., Szaszi, B., Nilsonne, G., Akker, O. van den, Albers, C., Assen, M. A. L. M. van, … Wagenmakers, E.-J. (2021). </w:t>
      </w:r>
      <w:r>
        <w:rPr>
          <w:i/>
          <w:iCs/>
        </w:rPr>
        <w:t>Guidance for conducting and reporting multi-analyst studies</w:t>
      </w:r>
      <w:r>
        <w:t xml:space="preserve">. MetaArXiv. </w:t>
      </w:r>
      <w:hyperlink r:id="rId17">
        <w:r>
          <w:rPr>
            <w:rStyle w:val="Hyperlink"/>
          </w:rPr>
          <w:t>https://doi.org/10.31222/osf.io/5ecnh</w:t>
        </w:r>
      </w:hyperlink>
    </w:p>
    <w:p w14:paraId="31626803" w14:textId="77777777" w:rsidR="00E42852" w:rsidRDefault="008C7ADD">
      <w:pPr>
        <w:pStyle w:val="Bibliography"/>
      </w:pPr>
      <w:bookmarkStart w:id="13" w:name="ref-R-raincloudplots"/>
      <w:bookmarkEnd w:id="12"/>
      <w:r>
        <w:t xml:space="preserve"> Allen et al. (2021). </w:t>
      </w:r>
      <w:r>
        <w:rPr>
          <w:i/>
          <w:iCs/>
        </w:rPr>
        <w:t>Raincloudplots: The easy way to create raincloud plots</w:t>
      </w:r>
      <w:r>
        <w:t xml:space="preserve">. Retrieved from </w:t>
      </w:r>
      <w:hyperlink r:id="rId18">
        <w:r>
          <w:rPr>
            <w:rStyle w:val="Hyperlink"/>
          </w:rPr>
          <w:t>https://github.com/jorvlan/raincloudplots</w:t>
        </w:r>
      </w:hyperlink>
    </w:p>
    <w:p w14:paraId="273D147B" w14:textId="77777777" w:rsidR="00E42852" w:rsidRDefault="008C7ADD">
      <w:pPr>
        <w:pStyle w:val="Bibliography"/>
      </w:pPr>
      <w:bookmarkStart w:id="14" w:name="ref-arbon2019"/>
      <w:bookmarkEnd w:id="13"/>
      <w:r>
        <w:t xml:space="preserve">Arbon, R., Drax, K., Thurlby, N., Timpson, N. J., Northstone, K., Brown, K. R., … Munafo, M. (2019). </w:t>
      </w:r>
      <w:r>
        <w:rPr>
          <w:i/>
          <w:iCs/>
        </w:rPr>
        <w:t>MAPS: Mapping the Analytical Paths of a Crowdsourced Data Analysis</w:t>
      </w:r>
      <w:r>
        <w:t xml:space="preserve">. </w:t>
      </w:r>
      <w:hyperlink r:id="rId19">
        <w:r>
          <w:rPr>
            <w:rStyle w:val="Hyperlink"/>
          </w:rPr>
          <w:t>https://doi.org/10.17605/OSF.IO/7VQ3B</w:t>
        </w:r>
      </w:hyperlink>
    </w:p>
    <w:p w14:paraId="6D4780E8" w14:textId="77777777" w:rsidR="00E42852" w:rsidRDefault="008C7ADD">
      <w:pPr>
        <w:pStyle w:val="Bibliography"/>
      </w:pPr>
      <w:bookmarkStart w:id="15" w:name="ref-auspurg2021"/>
      <w:bookmarkEnd w:id="14"/>
      <w:r>
        <w:t xml:space="preserve">Auspurg, K., &amp; Brüderl, J. (2021). Has the Credibility of the Social Sciences Been Credibly Destroyed? Reanalyzing the “Many Analysts, One Data Set” Project. </w:t>
      </w:r>
      <w:r>
        <w:rPr>
          <w:i/>
          <w:iCs/>
        </w:rPr>
        <w:t>Socius</w:t>
      </w:r>
      <w:r>
        <w:t xml:space="preserve">, </w:t>
      </w:r>
      <w:r>
        <w:rPr>
          <w:i/>
          <w:iCs/>
        </w:rPr>
        <w:t>7</w:t>
      </w:r>
      <w:r>
        <w:t xml:space="preserve">, 1–14. </w:t>
      </w:r>
      <w:hyperlink r:id="rId20">
        <w:r>
          <w:rPr>
            <w:rStyle w:val="Hyperlink"/>
          </w:rPr>
          <w:t>https://doi.org/10.1177/23780231211024421</w:t>
        </w:r>
      </w:hyperlink>
    </w:p>
    <w:p w14:paraId="6B293665" w14:textId="77777777" w:rsidR="00E42852" w:rsidRDefault="008C7ADD">
      <w:pPr>
        <w:pStyle w:val="Bibliography"/>
      </w:pPr>
      <w:bookmarkStart w:id="16" w:name="ref-R-papaja"/>
      <w:bookmarkEnd w:id="15"/>
      <w:r>
        <w:t xml:space="preserve">Aust, F., &amp; Barth, M. (2020). </w:t>
      </w:r>
      <w:r>
        <w:rPr>
          <w:i/>
          <w:iCs/>
        </w:rPr>
        <w:t>papaja: Prepare reproducible APA journal articles with R Markdown</w:t>
      </w:r>
      <w:r>
        <w:t xml:space="preserve">. Retrieved from </w:t>
      </w:r>
      <w:hyperlink r:id="rId21">
        <w:r>
          <w:rPr>
            <w:rStyle w:val="Hyperlink"/>
          </w:rPr>
          <w:t>https://github.com/crsh/papaja</w:t>
        </w:r>
      </w:hyperlink>
    </w:p>
    <w:p w14:paraId="2718B31C" w14:textId="77777777" w:rsidR="00E42852" w:rsidRDefault="008C7ADD">
      <w:pPr>
        <w:pStyle w:val="Bibliography"/>
      </w:pPr>
      <w:bookmarkStart w:id="17" w:name="ref-R-tinylabels"/>
      <w:bookmarkEnd w:id="16"/>
      <w:r>
        <w:t xml:space="preserve">Barth, M. (2021). </w:t>
      </w:r>
      <w:r>
        <w:rPr>
          <w:i/>
          <w:iCs/>
        </w:rPr>
        <w:t>tinylabels: Lightweight variable labels</w:t>
      </w:r>
      <w:r>
        <w:t xml:space="preserve">. Retrieved from </w:t>
      </w:r>
      <w:hyperlink r:id="rId22">
        <w:r>
          <w:rPr>
            <w:rStyle w:val="Hyperlink"/>
          </w:rPr>
          <w:t>https://github.com/mariusbarth/tinylabels</w:t>
        </w:r>
      </w:hyperlink>
    </w:p>
    <w:p w14:paraId="799BFABB" w14:textId="77777777" w:rsidR="00E42852" w:rsidRDefault="008C7ADD">
      <w:pPr>
        <w:pStyle w:val="Bibliography"/>
      </w:pPr>
      <w:bookmarkStart w:id="18" w:name="ref-breznau2021a"/>
      <w:bookmarkEnd w:id="17"/>
      <w:r>
        <w:t xml:space="preserve">Breznau, N. (2021). I Saw You in the Crowd: Credibility, Reproducibility, and Meta-Utility. </w:t>
      </w:r>
      <w:r>
        <w:rPr>
          <w:i/>
          <w:iCs/>
        </w:rPr>
        <w:t>PS: Political Science &amp; Politics</w:t>
      </w:r>
      <w:r>
        <w:t xml:space="preserve">, </w:t>
      </w:r>
      <w:r>
        <w:rPr>
          <w:i/>
          <w:iCs/>
        </w:rPr>
        <w:t>54</w:t>
      </w:r>
      <w:r>
        <w:t xml:space="preserve">(2), 309–313. </w:t>
      </w:r>
      <w:hyperlink r:id="rId23">
        <w:r>
          <w:rPr>
            <w:rStyle w:val="Hyperlink"/>
          </w:rPr>
          <w:t>https://doi.org/10.1017/S1049096520000980</w:t>
        </w:r>
      </w:hyperlink>
    </w:p>
    <w:p w14:paraId="6FEED5A9" w14:textId="77777777" w:rsidR="00E42852" w:rsidRDefault="008C7ADD">
      <w:pPr>
        <w:pStyle w:val="Bibliography"/>
      </w:pPr>
      <w:bookmarkStart w:id="19" w:name="ref-breznau2021"/>
      <w:bookmarkEnd w:id="18"/>
      <w:r>
        <w:lastRenderedPageBreak/>
        <w:t xml:space="preserve">Breznau, N., Rinke, E. M., Wuttke, A., Adem, M., Adriaans, J., Alvarez-Benjumea, A., … Nguyen, H. H. V. (2021). </w:t>
      </w:r>
      <w:r>
        <w:rPr>
          <w:i/>
          <w:iCs/>
        </w:rPr>
        <w:t>Observing Many Researchers Using the Same Data and Hypothesis Reveals a Hidden Universe of Uncertainty</w:t>
      </w:r>
      <w:r>
        <w:t xml:space="preserve">. MetaArXiv. </w:t>
      </w:r>
      <w:hyperlink r:id="rId24">
        <w:r>
          <w:rPr>
            <w:rStyle w:val="Hyperlink"/>
          </w:rPr>
          <w:t>https://doi.org/10.31222/osf.io/cd5j9</w:t>
        </w:r>
      </w:hyperlink>
    </w:p>
    <w:p w14:paraId="3887ACCE" w14:textId="77777777" w:rsidR="00E42852" w:rsidRDefault="008C7ADD">
      <w:pPr>
        <w:pStyle w:val="Bibliography"/>
      </w:pPr>
      <w:bookmarkStart w:id="20" w:name="ref-franzoni2014"/>
      <w:bookmarkEnd w:id="19"/>
      <w:r>
        <w:t xml:space="preserve">Franzoni, C., &amp; Sauermann, H. (2014). Crowd science: The organization of scientific research in open collaborative projects. </w:t>
      </w:r>
      <w:r>
        <w:rPr>
          <w:i/>
          <w:iCs/>
        </w:rPr>
        <w:t>Research Policy</w:t>
      </w:r>
      <w:r>
        <w:t xml:space="preserve">, </w:t>
      </w:r>
      <w:r>
        <w:rPr>
          <w:i/>
          <w:iCs/>
        </w:rPr>
        <w:t>43</w:t>
      </w:r>
      <w:r>
        <w:t xml:space="preserve">(1), 1–20. </w:t>
      </w:r>
      <w:hyperlink r:id="rId25">
        <w:r>
          <w:rPr>
            <w:rStyle w:val="Hyperlink"/>
          </w:rPr>
          <w:t>https://doi.org/10.1016/j.respol.2013.07.005</w:t>
        </w:r>
      </w:hyperlink>
    </w:p>
    <w:p w14:paraId="47FD30C7" w14:textId="77777777" w:rsidR="00E42852" w:rsidRDefault="008C7ADD">
      <w:pPr>
        <w:pStyle w:val="Bibliography"/>
      </w:pPr>
      <w:bookmarkStart w:id="21" w:name="ref-garfield2004"/>
      <w:bookmarkEnd w:id="20"/>
      <w:r>
        <w:t xml:space="preserve">Garfield, J., &amp; Ben-Zvi, D. (2004). Research on Statistical Literacy, Reasoning, and Thinking: Issues, Challenges, and Implications. In D. Ben-Zvi &amp; J. Garfield (Eds.), </w:t>
      </w:r>
      <w:r>
        <w:rPr>
          <w:i/>
          <w:iCs/>
        </w:rPr>
        <w:t>The Challenge of Developing Statistical Literacy, Reasoning and Thinking</w:t>
      </w:r>
      <w:r>
        <w:t xml:space="preserve"> (pp. 397–409). Dordrecht: Springer Netherlands. </w:t>
      </w:r>
      <w:hyperlink r:id="rId26">
        <w:r>
          <w:rPr>
            <w:rStyle w:val="Hyperlink"/>
          </w:rPr>
          <w:t>https://doi.org/10.1007/1-4020-2278-6_17</w:t>
        </w:r>
      </w:hyperlink>
    </w:p>
    <w:p w14:paraId="5745293E" w14:textId="77777777" w:rsidR="00E42852" w:rsidRDefault="008C7ADD">
      <w:pPr>
        <w:pStyle w:val="Bibliography"/>
      </w:pPr>
      <w:bookmarkStart w:id="22" w:name="ref-gigerenzer2015a"/>
      <w:bookmarkEnd w:id="21"/>
      <w:r>
        <w:t xml:space="preserve">Gigerenzer, G., &amp; Murray, D. J. (2015). </w:t>
      </w:r>
      <w:r>
        <w:rPr>
          <w:i/>
          <w:iCs/>
        </w:rPr>
        <w:t>Cognition as Intuitive Statistics</w:t>
      </w:r>
      <w:r>
        <w:t>. Psychology Press.</w:t>
      </w:r>
    </w:p>
    <w:p w14:paraId="134C1F65" w14:textId="77777777" w:rsidR="00E42852" w:rsidRDefault="008C7ADD">
      <w:pPr>
        <w:pStyle w:val="Bibliography"/>
      </w:pPr>
      <w:bookmarkStart w:id="23" w:name="ref-R-purrr"/>
      <w:bookmarkEnd w:id="22"/>
      <w:r>
        <w:t xml:space="preserve">Henry, L., &amp; Wickham, H. (2020). </w:t>
      </w:r>
      <w:r>
        <w:rPr>
          <w:i/>
          <w:iCs/>
        </w:rPr>
        <w:t>Purrr: Functional programming tools</w:t>
      </w:r>
      <w:r>
        <w:t xml:space="preserve">. Retrieved from </w:t>
      </w:r>
      <w:hyperlink r:id="rId27">
        <w:r>
          <w:rPr>
            <w:rStyle w:val="Hyperlink"/>
          </w:rPr>
          <w:t>https://CRAN.R-project.org/package=purrr</w:t>
        </w:r>
      </w:hyperlink>
    </w:p>
    <w:p w14:paraId="6A5D206F" w14:textId="77777777" w:rsidR="00E42852" w:rsidRDefault="008C7ADD">
      <w:pPr>
        <w:pStyle w:val="Bibliography"/>
      </w:pPr>
      <w:bookmarkStart w:id="24" w:name="ref-R-glue"/>
      <w:bookmarkEnd w:id="23"/>
      <w:r>
        <w:t xml:space="preserve">Hester, J. (2020). </w:t>
      </w:r>
      <w:r>
        <w:rPr>
          <w:i/>
          <w:iCs/>
        </w:rPr>
        <w:t>Glue: Interpreted string literals</w:t>
      </w:r>
      <w:r>
        <w:t xml:space="preserve">. Retrieved from </w:t>
      </w:r>
      <w:hyperlink r:id="rId28">
        <w:r>
          <w:rPr>
            <w:rStyle w:val="Hyperlink"/>
          </w:rPr>
          <w:t>https://CRAN.R-project.org/package=glue</w:t>
        </w:r>
      </w:hyperlink>
    </w:p>
    <w:p w14:paraId="11B22BC0" w14:textId="77777777" w:rsidR="00E42852" w:rsidRDefault="008C7ADD">
      <w:pPr>
        <w:pStyle w:val="Bibliography"/>
      </w:pPr>
      <w:bookmarkStart w:id="25" w:name="ref-hornsey2017"/>
      <w:bookmarkEnd w:id="24"/>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9">
        <w:r>
          <w:rPr>
            <w:rStyle w:val="Hyperlink"/>
          </w:rPr>
          <w:t>https://doi.org/10.1037/a0040437</w:t>
        </w:r>
      </w:hyperlink>
    </w:p>
    <w:p w14:paraId="7B452E07" w14:textId="77777777" w:rsidR="00E42852" w:rsidRDefault="008C7ADD">
      <w:pPr>
        <w:pStyle w:val="Bibliography"/>
      </w:pPr>
      <w:bookmarkStart w:id="26" w:name="ref-jick1979"/>
      <w:bookmarkEnd w:id="25"/>
      <w:r>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30">
        <w:r>
          <w:rPr>
            <w:rStyle w:val="Hyperlink"/>
          </w:rPr>
          <w:t>https://doi.org/10.2307/2392366</w:t>
        </w:r>
      </w:hyperlink>
    </w:p>
    <w:p w14:paraId="2803B51C" w14:textId="77777777" w:rsidR="00E42852" w:rsidRDefault="008C7ADD">
      <w:pPr>
        <w:pStyle w:val="Bibliography"/>
      </w:pPr>
      <w:bookmarkStart w:id="27" w:name="ref-miller2016"/>
      <w:bookmarkEnd w:id="26"/>
      <w:r>
        <w:lastRenderedPageBreak/>
        <w:t xml:space="preserve">Miller, D. T., &amp; Prentice, D. A. (2016). Changing Norms to Change Behavior. </w:t>
      </w:r>
      <w:r>
        <w:rPr>
          <w:i/>
          <w:iCs/>
        </w:rPr>
        <w:t>Annual Review of Psychology</w:t>
      </w:r>
      <w:r>
        <w:t xml:space="preserve">, </w:t>
      </w:r>
      <w:r>
        <w:rPr>
          <w:i/>
          <w:iCs/>
        </w:rPr>
        <w:t>67</w:t>
      </w:r>
      <w:r>
        <w:t xml:space="preserve">(1), 339–361. </w:t>
      </w:r>
      <w:hyperlink r:id="rId31">
        <w:r>
          <w:rPr>
            <w:rStyle w:val="Hyperlink"/>
          </w:rPr>
          <w:t>https://doi.org/10.1146/annurev-psych-010814-015013</w:t>
        </w:r>
      </w:hyperlink>
    </w:p>
    <w:p w14:paraId="3147C2AC" w14:textId="77777777" w:rsidR="00E42852" w:rsidRDefault="008C7ADD">
      <w:pPr>
        <w:pStyle w:val="Bibliography"/>
      </w:pPr>
      <w:bookmarkStart w:id="28" w:name="ref-munoz2018"/>
      <w:bookmarkEnd w:id="27"/>
      <w:r>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32">
        <w:r>
          <w:rPr>
            <w:rStyle w:val="Hyperlink"/>
          </w:rPr>
          <w:t>https://doi.org/10.1177/0081175018777988</w:t>
        </w:r>
      </w:hyperlink>
    </w:p>
    <w:p w14:paraId="29040F9C" w14:textId="77777777" w:rsidR="00E42852" w:rsidRDefault="008C7ADD">
      <w:pPr>
        <w:pStyle w:val="Bibliography"/>
      </w:pPr>
      <w:bookmarkStart w:id="29" w:name="ref-R-here"/>
      <w:bookmarkEnd w:id="28"/>
      <w:r>
        <w:t xml:space="preserve">Müller, K. (2020). </w:t>
      </w:r>
      <w:r>
        <w:rPr>
          <w:i/>
          <w:iCs/>
        </w:rPr>
        <w:t>Here: A simpler way to find your files</w:t>
      </w:r>
      <w:r>
        <w:t xml:space="preserve">. Retrieved from </w:t>
      </w:r>
      <w:hyperlink r:id="rId33">
        <w:r>
          <w:rPr>
            <w:rStyle w:val="Hyperlink"/>
          </w:rPr>
          <w:t>https://CRAN.R-project.org/package=here</w:t>
        </w:r>
      </w:hyperlink>
    </w:p>
    <w:p w14:paraId="1BD7A652" w14:textId="77777777" w:rsidR="00E42852" w:rsidRDefault="008C7ADD">
      <w:pPr>
        <w:pStyle w:val="Bibliography"/>
      </w:pPr>
      <w:bookmarkStart w:id="30" w:name="ref-R-icons"/>
      <w:bookmarkEnd w:id="29"/>
      <w:r>
        <w:t xml:space="preserve">O’Hara-Wild, M. (2021). </w:t>
      </w:r>
      <w:r>
        <w:rPr>
          <w:i/>
          <w:iCs/>
        </w:rPr>
        <w:t>Icons: SVG icons for r documents and apps</w:t>
      </w:r>
      <w:r>
        <w:t>.</w:t>
      </w:r>
    </w:p>
    <w:p w14:paraId="3B1458AD" w14:textId="77777777" w:rsidR="00E42852" w:rsidRDefault="008C7ADD">
      <w:pPr>
        <w:pStyle w:val="Bibliography"/>
      </w:pPr>
      <w:bookmarkStart w:id="31" w:name="ref-R-rsvg"/>
      <w:bookmarkEnd w:id="30"/>
      <w:r>
        <w:t xml:space="preserve">Ooms, J. (2021). </w:t>
      </w:r>
      <w:r>
        <w:rPr>
          <w:i/>
          <w:iCs/>
        </w:rPr>
        <w:t>Rsvg: Render SVG images into PDF, PNG, PostScript, or bitmap arrays</w:t>
      </w:r>
      <w:r>
        <w:t xml:space="preserve">. Retrieved from </w:t>
      </w:r>
      <w:hyperlink r:id="rId34">
        <w:r>
          <w:rPr>
            <w:rStyle w:val="Hyperlink"/>
          </w:rPr>
          <w:t>https://CRAN.R-project.org/package=rsvg</w:t>
        </w:r>
      </w:hyperlink>
    </w:p>
    <w:p w14:paraId="169ACA3A" w14:textId="77777777" w:rsidR="00E42852" w:rsidRDefault="008C7ADD">
      <w:pPr>
        <w:pStyle w:val="Bibliography"/>
      </w:pPr>
      <w:bookmarkStart w:id="32" w:name="ref-pashler2012"/>
      <w:bookmarkEnd w:id="31"/>
      <w:r>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35">
        <w:r>
          <w:rPr>
            <w:rStyle w:val="Hyperlink"/>
          </w:rPr>
          <w:t>https://doi.org/10.1177/1745691612465253</w:t>
        </w:r>
      </w:hyperlink>
    </w:p>
    <w:p w14:paraId="4B4CE3B1" w14:textId="77777777" w:rsidR="00E42852" w:rsidRDefault="008C7ADD">
      <w:pPr>
        <w:pStyle w:val="Bibliography"/>
      </w:pPr>
      <w:bookmarkStart w:id="33" w:name="ref-R-base"/>
      <w:bookmarkEnd w:id="32"/>
      <w:r>
        <w:t xml:space="preserve">R Core Team. (2021).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5FC7E839" w14:textId="77777777" w:rsidR="00E42852" w:rsidRDefault="008C7ADD">
      <w:pPr>
        <w:pStyle w:val="Bibliography"/>
      </w:pPr>
      <w:bookmarkStart w:id="34" w:name="ref-R-broom"/>
      <w:bookmarkEnd w:id="33"/>
      <w:r>
        <w:t xml:space="preserve">Robinson, D., Hayes, A., &amp; Couch, S. (2021). </w:t>
      </w:r>
      <w:r>
        <w:rPr>
          <w:i/>
          <w:iCs/>
        </w:rPr>
        <w:t>Broom: Convert statistical objects into tidy tibbles</w:t>
      </w:r>
      <w:r>
        <w:t>.</w:t>
      </w:r>
    </w:p>
    <w:p w14:paraId="1324B444" w14:textId="77777777" w:rsidR="00E42852" w:rsidRDefault="008C7ADD">
      <w:pPr>
        <w:pStyle w:val="Bibliography"/>
      </w:pPr>
      <w:bookmarkStart w:id="35" w:name="ref-schweinsberg2021"/>
      <w:bookmarkEnd w:id="34"/>
      <w:r>
        <w:t xml:space="preserve">Schweinsberg, M., Feldman, M., Staub, N., van den Akker, O. R., van Aert, R. C. M., van Assen, M. A. L. M., … et al. (2021). Same data, different conclusions: Radical dispersion in empirical results when independent analysts operationalize and test the same hypothesis. </w:t>
      </w:r>
      <w:r>
        <w:rPr>
          <w:i/>
          <w:iCs/>
        </w:rPr>
        <w:t>Organizational Behavior and Human Decision Processes</w:t>
      </w:r>
      <w:r>
        <w:t xml:space="preserve">, </w:t>
      </w:r>
      <w:r>
        <w:rPr>
          <w:i/>
          <w:iCs/>
        </w:rPr>
        <w:t>165</w:t>
      </w:r>
      <w:r>
        <w:t xml:space="preserve">, 228–249. </w:t>
      </w:r>
      <w:hyperlink r:id="rId37">
        <w:r>
          <w:rPr>
            <w:rStyle w:val="Hyperlink"/>
          </w:rPr>
          <w:t>https://doi.org/10.1016/j.obhdp.2021.02.003</w:t>
        </w:r>
      </w:hyperlink>
    </w:p>
    <w:p w14:paraId="02245B37" w14:textId="77777777" w:rsidR="00E42852" w:rsidRDefault="008C7ADD">
      <w:pPr>
        <w:pStyle w:val="Bibliography"/>
      </w:pPr>
      <w:bookmarkStart w:id="36" w:name="ref-silberzahn2015"/>
      <w:bookmarkEnd w:id="35"/>
      <w:r>
        <w:lastRenderedPageBreak/>
        <w:t xml:space="preserve">Silberzahn, R., &amp; Uhlmann, E. L. (2015). Crowdsourced research: Many hands make tight work. </w:t>
      </w:r>
      <w:r>
        <w:rPr>
          <w:i/>
          <w:iCs/>
        </w:rPr>
        <w:t>Nature</w:t>
      </w:r>
      <w:r>
        <w:t xml:space="preserve">, </w:t>
      </w:r>
      <w:r>
        <w:rPr>
          <w:i/>
          <w:iCs/>
        </w:rPr>
        <w:t>526</w:t>
      </w:r>
      <w:r>
        <w:t xml:space="preserve">(7572), 189–191. </w:t>
      </w:r>
      <w:hyperlink r:id="rId38">
        <w:r>
          <w:rPr>
            <w:rStyle w:val="Hyperlink"/>
          </w:rPr>
          <w:t>https://doi.org/10.1038/526189a</w:t>
        </w:r>
      </w:hyperlink>
    </w:p>
    <w:p w14:paraId="47CBFD89" w14:textId="77777777" w:rsidR="00E42852" w:rsidRDefault="008C7ADD">
      <w:pPr>
        <w:pStyle w:val="Bibliography"/>
      </w:pPr>
      <w:bookmarkStart w:id="37" w:name="ref-silberzahn2018"/>
      <w:bookmarkEnd w:id="36"/>
      <w:r>
        <w:t xml:space="preserve">Silberzahn, R., Uhlmann, E. L., Martin, D. P., Anselmi, P., Aust, F., Awtrey, E., … Nosek, B. A. (2018). Many Analysts, One Data Set: Making Transparent How Variations in Analytic Choices Affect Results. </w:t>
      </w:r>
      <w:r>
        <w:rPr>
          <w:i/>
          <w:iCs/>
        </w:rPr>
        <w:t>Advances in Methods and Practices in Psychological Science</w:t>
      </w:r>
      <w:r>
        <w:t xml:space="preserve">, </w:t>
      </w:r>
      <w:r>
        <w:rPr>
          <w:i/>
          <w:iCs/>
        </w:rPr>
        <w:t>1</w:t>
      </w:r>
      <w:r>
        <w:t xml:space="preserve">(3), 337–356. </w:t>
      </w:r>
      <w:hyperlink r:id="rId39">
        <w:r>
          <w:rPr>
            <w:rStyle w:val="Hyperlink"/>
          </w:rPr>
          <w:t>https://doi.org/10.1177/2515245917747646</w:t>
        </w:r>
      </w:hyperlink>
    </w:p>
    <w:p w14:paraId="77CA3F38" w14:textId="77777777" w:rsidR="00E42852" w:rsidRDefault="008C7ADD">
      <w:pPr>
        <w:pStyle w:val="Bibliography"/>
      </w:pPr>
      <w:bookmarkStart w:id="38" w:name="ref-steegen2016"/>
      <w:bookmarkEnd w:id="37"/>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40">
        <w:r>
          <w:rPr>
            <w:rStyle w:val="Hyperlink"/>
          </w:rPr>
          <w:t>https://doi.org/10.1177/1745691616658637</w:t>
        </w:r>
      </w:hyperlink>
    </w:p>
    <w:p w14:paraId="24E83F02" w14:textId="77777777" w:rsidR="00E42852" w:rsidRDefault="008C7ADD">
      <w:pPr>
        <w:pStyle w:val="Bibliography"/>
      </w:pPr>
      <w:bookmarkStart w:id="39" w:name="ref-turner2017"/>
      <w:bookmarkEnd w:id="38"/>
      <w:r>
        <w:t xml:space="preserve">Turner, S. F., Cardinal, L. B., &amp; Burton, R. M. (2017). Research Design for Mixed Methods: A Triangulation-based Framework and Roadmap. </w:t>
      </w:r>
      <w:r>
        <w:rPr>
          <w:i/>
          <w:iCs/>
        </w:rPr>
        <w:t>Organizational Research Methods</w:t>
      </w:r>
      <w:r>
        <w:t xml:space="preserve">, </w:t>
      </w:r>
      <w:r>
        <w:rPr>
          <w:i/>
          <w:iCs/>
        </w:rPr>
        <w:t>20</w:t>
      </w:r>
      <w:r>
        <w:t xml:space="preserve">(2), 243–267. </w:t>
      </w:r>
      <w:hyperlink r:id="rId41">
        <w:r>
          <w:rPr>
            <w:rStyle w:val="Hyperlink"/>
          </w:rPr>
          <w:t>https://doi.org/10.1177/1094428115610808</w:t>
        </w:r>
      </w:hyperlink>
    </w:p>
    <w:p w14:paraId="7CC5E659" w14:textId="77777777" w:rsidR="00E42852" w:rsidRDefault="008C7ADD">
      <w:pPr>
        <w:pStyle w:val="Bibliography"/>
      </w:pPr>
      <w:bookmarkStart w:id="40" w:name="ref-uhlmann2019"/>
      <w:bookmarkEnd w:id="39"/>
      <w:r>
        <w:t xml:space="preserve">Uhlmann, E. L., 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42">
        <w:r>
          <w:rPr>
            <w:rStyle w:val="Hyperlink"/>
          </w:rPr>
          <w:t>https://doi.org/10.1177/1745691619850561</w:t>
        </w:r>
      </w:hyperlink>
    </w:p>
    <w:p w14:paraId="4F22CE21" w14:textId="77777777" w:rsidR="00E42852" w:rsidRDefault="008C7ADD">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43">
        <w:r>
          <w:rPr>
            <w:rStyle w:val="Hyperlink"/>
          </w:rPr>
          <w:t>https://ggplot2.tidyverse.org</w:t>
        </w:r>
      </w:hyperlink>
    </w:p>
    <w:p w14:paraId="054AB41D" w14:textId="77777777" w:rsidR="00E42852" w:rsidRDefault="008C7ADD">
      <w:pPr>
        <w:pStyle w:val="Bibliography"/>
      </w:pPr>
      <w:bookmarkStart w:id="42" w:name="ref-R-dplyr"/>
      <w:bookmarkEnd w:id="41"/>
      <w:r>
        <w:t xml:space="preserve">Wickham, H., François, R., Henry, L., &amp; Müller, K. (2021). </w:t>
      </w:r>
      <w:r>
        <w:rPr>
          <w:i/>
          <w:iCs/>
        </w:rPr>
        <w:t>Dplyr: A grammar of data manipulation</w:t>
      </w:r>
      <w:r>
        <w:t xml:space="preserve">. Retrieved from </w:t>
      </w:r>
      <w:hyperlink r:id="rId44">
        <w:r>
          <w:rPr>
            <w:rStyle w:val="Hyperlink"/>
          </w:rPr>
          <w:t>https://CRAN.R-project.org/package=dplyr</w:t>
        </w:r>
      </w:hyperlink>
    </w:p>
    <w:p w14:paraId="1DEC7422" w14:textId="77777777" w:rsidR="00E42852" w:rsidRDefault="008C7ADD">
      <w:pPr>
        <w:pStyle w:val="Bibliography"/>
      </w:pPr>
      <w:bookmarkStart w:id="43" w:name="ref-R-readr"/>
      <w:bookmarkEnd w:id="42"/>
      <w:r>
        <w:t xml:space="preserve">Wickham, H., &amp; Hester, J. (2020). </w:t>
      </w:r>
      <w:r>
        <w:rPr>
          <w:i/>
          <w:iCs/>
        </w:rPr>
        <w:t>Readr: Read rectangular text data</w:t>
      </w:r>
      <w:r>
        <w:t xml:space="preserve">. Retrieved from </w:t>
      </w:r>
      <w:hyperlink r:id="rId45">
        <w:r>
          <w:rPr>
            <w:rStyle w:val="Hyperlink"/>
          </w:rPr>
          <w:t>https://CRAN.R-project.org/package=readr</w:t>
        </w:r>
      </w:hyperlink>
    </w:p>
    <w:p w14:paraId="13300DA7" w14:textId="77777777" w:rsidR="00E42852" w:rsidRDefault="008C7ADD">
      <w:pPr>
        <w:pStyle w:val="Bibliography"/>
      </w:pPr>
      <w:bookmarkStart w:id="44" w:name="ref-R-rmarkdown_a"/>
      <w:bookmarkEnd w:id="43"/>
      <w:r>
        <w:lastRenderedPageBreak/>
        <w:t xml:space="preserve">Xie, Y., Allaire, J. J., &amp; Grolemund, G. (2018). </w:t>
      </w:r>
      <w:r>
        <w:rPr>
          <w:i/>
          <w:iCs/>
        </w:rPr>
        <w:t>R markdown: The definitive guide</w:t>
      </w:r>
      <w:r>
        <w:t xml:space="preserve">. Boca Raton, Florida: Chapman; Hall/CRC. Retrieved from </w:t>
      </w:r>
      <w:hyperlink r:id="rId46">
        <w:r>
          <w:rPr>
            <w:rStyle w:val="Hyperlink"/>
          </w:rPr>
          <w:t>https://bookdown.org/yihui/rmarkdown</w:t>
        </w:r>
      </w:hyperlink>
    </w:p>
    <w:p w14:paraId="35887637" w14:textId="77777777" w:rsidR="00E42852" w:rsidRDefault="008C7ADD">
      <w:pPr>
        <w:pStyle w:val="Bibliography"/>
      </w:pPr>
      <w:bookmarkStart w:id="45" w:name="ref-R-rmarkdown_b"/>
      <w:bookmarkEnd w:id="44"/>
      <w:r>
        <w:t xml:space="preserve">Xie, Y., Dervieux, C., &amp; Riederer, E. (2020). </w:t>
      </w:r>
      <w:r>
        <w:rPr>
          <w:i/>
          <w:iCs/>
        </w:rPr>
        <w:t>R markdown cookbook</w:t>
      </w:r>
      <w:r>
        <w:t xml:space="preserve">. Boca Raton, Florida: Chapman; Hall/CRC. Retrieved from </w:t>
      </w:r>
      <w:hyperlink r:id="rId47">
        <w:r>
          <w:rPr>
            <w:rStyle w:val="Hyperlink"/>
          </w:rPr>
          <w:t>https://bookdown.org/yihui/rmarkdown-cookbook</w:t>
        </w:r>
      </w:hyperlink>
    </w:p>
    <w:bookmarkEnd w:id="11"/>
    <w:bookmarkEnd w:id="45"/>
    <w:p w14:paraId="4F2BFECF" w14:textId="77777777" w:rsidR="00E42852" w:rsidRDefault="008C7ADD">
      <w:r>
        <w:br w:type="page"/>
      </w:r>
    </w:p>
    <w:p w14:paraId="65DB3B71" w14:textId="77777777" w:rsidR="00E42852" w:rsidRDefault="008C7ADD">
      <w:pPr>
        <w:pStyle w:val="Heading1"/>
      </w:pPr>
      <w:bookmarkStart w:id="46" w:name="tables"/>
      <w:bookmarkEnd w:id="9"/>
      <w:r>
        <w:lastRenderedPageBreak/>
        <w:t>Tables</w:t>
      </w:r>
    </w:p>
    <w:p w14:paraId="26843BA3" w14:textId="77777777" w:rsidR="00E42852" w:rsidRDefault="008C7ADD">
      <w:pPr>
        <w:pStyle w:val="Heading2"/>
      </w:pPr>
      <w:bookmarkStart w:id="47" w:name="table-1"/>
      <w:r>
        <w:t>Table 1</w:t>
      </w:r>
    </w:p>
    <w:p w14:paraId="39F0B109" w14:textId="77777777" w:rsidR="00E42852" w:rsidRDefault="008C7ADD" w:rsidP="00A625A4">
      <w:pPr>
        <w:pStyle w:val="FirstParagraph"/>
        <w:tabs>
          <w:tab w:val="left" w:pos="0"/>
        </w:tabs>
        <w:ind w:firstLine="0"/>
      </w:pPr>
      <w:r>
        <w:rPr>
          <w:i/>
          <w:iCs/>
        </w:rPr>
        <w:t>Predicted direction of effects compared to the single estimate condition</w:t>
      </w:r>
    </w:p>
    <w:tbl>
      <w:tblPr>
        <w:tblStyle w:val="Table"/>
        <w:tblW w:w="0" w:type="pct"/>
        <w:tblLook w:val="0020" w:firstRow="1" w:lastRow="0" w:firstColumn="0" w:lastColumn="0" w:noHBand="0" w:noVBand="0"/>
      </w:tblPr>
      <w:tblGrid>
        <w:gridCol w:w="3409"/>
        <w:gridCol w:w="1890"/>
        <w:gridCol w:w="2036"/>
      </w:tblGrid>
      <w:tr w:rsidR="00E42852" w14:paraId="23C034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C4716C" w14:textId="77777777" w:rsidR="00E42852" w:rsidRDefault="008C7ADD">
            <w:pPr>
              <w:pStyle w:val="Compact"/>
            </w:pPr>
            <w:r>
              <w:t>Measure</w:t>
            </w:r>
          </w:p>
        </w:tc>
        <w:tc>
          <w:tcPr>
            <w:tcW w:w="0" w:type="auto"/>
          </w:tcPr>
          <w:p w14:paraId="48401D31" w14:textId="77777777" w:rsidR="00E42852" w:rsidRDefault="008C7ADD">
            <w:pPr>
              <w:pStyle w:val="Compact"/>
            </w:pPr>
            <w:r>
              <w:t>Consistent crowd</w:t>
            </w:r>
          </w:p>
        </w:tc>
        <w:tc>
          <w:tcPr>
            <w:tcW w:w="0" w:type="auto"/>
          </w:tcPr>
          <w:p w14:paraId="5EACBC49" w14:textId="77777777" w:rsidR="00E42852" w:rsidRDefault="008C7ADD">
            <w:pPr>
              <w:pStyle w:val="Compact"/>
            </w:pPr>
            <w:r>
              <w:t>Inconsistent crowd</w:t>
            </w:r>
          </w:p>
        </w:tc>
      </w:tr>
      <w:tr w:rsidR="00E42852" w14:paraId="1496EEDA" w14:textId="77777777">
        <w:tc>
          <w:tcPr>
            <w:tcW w:w="0" w:type="auto"/>
          </w:tcPr>
          <w:p w14:paraId="1FA7453D" w14:textId="77777777" w:rsidR="00E42852" w:rsidRDefault="008C7ADD">
            <w:pPr>
              <w:pStyle w:val="Compact"/>
            </w:pPr>
            <w:r>
              <w:t>1. Posterior beliefs</w:t>
            </w:r>
          </w:p>
        </w:tc>
        <w:tc>
          <w:tcPr>
            <w:tcW w:w="0" w:type="auto"/>
          </w:tcPr>
          <w:p w14:paraId="6F17E543" w14:textId="77777777" w:rsidR="00E42852" w:rsidRDefault="008C7ADD">
            <w:pPr>
              <w:pStyle w:val="Compact"/>
            </w:pPr>
            <m:oMath>
              <m:r>
                <w:rPr>
                  <w:rFonts w:ascii="Cambria Math" w:hAnsi="Cambria Math"/>
                </w:rPr>
                <m:t>          </m:t>
              </m:r>
            </m:oMath>
            <w:r>
              <w:t xml:space="preserve"> </w:t>
            </w:r>
            <w:r>
              <w:rPr>
                <w:noProof/>
              </w:rPr>
              <w:drawing>
                <wp:inline distT="0" distB="0" distL="0" distR="0" wp14:anchorId="7EA8B06C" wp14:editId="288529A1">
                  <wp:extent cx="206275" cy="1650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394829b.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02C32CB6" w14:textId="77777777" w:rsidR="00E42852" w:rsidRDefault="008C7ADD">
            <w:pPr>
              <w:pStyle w:val="Compact"/>
            </w:pPr>
            <m:oMath>
              <m:r>
                <w:rPr>
                  <w:rFonts w:ascii="Cambria Math" w:hAnsi="Cambria Math"/>
                </w:rPr>
                <m:t>          </m:t>
              </m:r>
            </m:oMath>
            <w:r>
              <w:t xml:space="preserve"> </w:t>
            </w:r>
            <w:r>
              <w:rPr>
                <w:noProof/>
              </w:rPr>
              <w:drawing>
                <wp:inline distT="0" distB="0" distL="0" distR="0" wp14:anchorId="179ACBD9" wp14:editId="288B0CD0">
                  <wp:extent cx="206275" cy="1650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b0a8ff3.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554DFCC2" w14:textId="77777777">
        <w:tc>
          <w:tcPr>
            <w:tcW w:w="0" w:type="auto"/>
          </w:tcPr>
          <w:p w14:paraId="7D55E587" w14:textId="77777777" w:rsidR="00E42852" w:rsidRDefault="008C7ADD">
            <w:pPr>
              <w:pStyle w:val="Compact"/>
            </w:pPr>
            <w:r>
              <w:t>2. Credibility of the results</w:t>
            </w:r>
          </w:p>
        </w:tc>
        <w:tc>
          <w:tcPr>
            <w:tcW w:w="0" w:type="auto"/>
          </w:tcPr>
          <w:p w14:paraId="6353760F" w14:textId="77777777" w:rsidR="00E42852" w:rsidRDefault="008C7ADD">
            <w:pPr>
              <w:pStyle w:val="Compact"/>
            </w:pPr>
            <m:oMath>
              <m:r>
                <w:rPr>
                  <w:rFonts w:ascii="Cambria Math" w:hAnsi="Cambria Math"/>
                </w:rPr>
                <m:t>          </m:t>
              </m:r>
            </m:oMath>
            <w:r>
              <w:t xml:space="preserve"> </w:t>
            </w:r>
            <w:r>
              <w:rPr>
                <w:noProof/>
              </w:rPr>
              <w:drawing>
                <wp:inline distT="0" distB="0" distL="0" distR="0" wp14:anchorId="79775E40" wp14:editId="7367C385">
                  <wp:extent cx="206275" cy="1650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6270a02e.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13E50DC5" w14:textId="77777777" w:rsidR="00E42852" w:rsidRDefault="008C7ADD">
            <w:pPr>
              <w:pStyle w:val="Compact"/>
            </w:pPr>
            <m:oMath>
              <m:r>
                <w:rPr>
                  <w:rFonts w:ascii="Cambria Math" w:hAnsi="Cambria Math"/>
                </w:rPr>
                <m:t>          </m:t>
              </m:r>
            </m:oMath>
            <w:r>
              <w:t xml:space="preserve"> </w:t>
            </w:r>
            <w:r>
              <w:rPr>
                <w:noProof/>
              </w:rPr>
              <w:drawing>
                <wp:inline distT="0" distB="0" distL="0" distR="0" wp14:anchorId="6EC4B256" wp14:editId="0AFA722D">
                  <wp:extent cx="206275" cy="1650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50245e7f.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2411A472" w14:textId="77777777">
        <w:tc>
          <w:tcPr>
            <w:tcW w:w="0" w:type="auto"/>
          </w:tcPr>
          <w:p w14:paraId="2BE66F2D" w14:textId="77777777" w:rsidR="00E42852" w:rsidRDefault="008C7ADD">
            <w:pPr>
              <w:pStyle w:val="Compact"/>
            </w:pPr>
            <w:r>
              <w:t>3. Confidence in precise estimate</w:t>
            </w:r>
          </w:p>
        </w:tc>
        <w:tc>
          <w:tcPr>
            <w:tcW w:w="0" w:type="auto"/>
          </w:tcPr>
          <w:p w14:paraId="4243DCE0" w14:textId="77777777" w:rsidR="00E42852" w:rsidRDefault="008C7ADD">
            <w:pPr>
              <w:pStyle w:val="Compact"/>
            </w:pPr>
            <m:oMath>
              <m:r>
                <w:rPr>
                  <w:rFonts w:ascii="Cambria Math" w:hAnsi="Cambria Math"/>
                </w:rPr>
                <m:t>          </m:t>
              </m:r>
            </m:oMath>
            <w:r>
              <w:t xml:space="preserve"> </w:t>
            </w:r>
            <w:r>
              <w:rPr>
                <w:noProof/>
              </w:rPr>
              <w:drawing>
                <wp:inline distT="0" distB="0" distL="0" distR="0" wp14:anchorId="44FACF3C" wp14:editId="64ED150D">
                  <wp:extent cx="206275" cy="1650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3b80cf4.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407D5AD0" w14:textId="77777777" w:rsidR="00E42852" w:rsidRDefault="008C7ADD">
            <w:pPr>
              <w:pStyle w:val="Compact"/>
            </w:pPr>
            <m:oMath>
              <m:r>
                <w:rPr>
                  <w:rFonts w:ascii="Cambria Math" w:hAnsi="Cambria Math"/>
                </w:rPr>
                <m:t>          </m:t>
              </m:r>
            </m:oMath>
            <w:r>
              <w:t xml:space="preserve"> </w:t>
            </w:r>
            <w:r>
              <w:rPr>
                <w:noProof/>
              </w:rPr>
              <w:drawing>
                <wp:inline distT="0" distB="0" distL="0" distR="0" wp14:anchorId="764D6EE8" wp14:editId="13A4BCA9">
                  <wp:extent cx="206275" cy="1650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285a6914.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6F00A26E" w14:textId="77777777">
        <w:tc>
          <w:tcPr>
            <w:tcW w:w="0" w:type="auto"/>
          </w:tcPr>
          <w:p w14:paraId="53DE7CCF" w14:textId="77777777" w:rsidR="00E42852" w:rsidRDefault="008C7ADD">
            <w:pPr>
              <w:pStyle w:val="Compact"/>
            </w:pPr>
            <w:r>
              <w:t>4. Researcher bias</w:t>
            </w:r>
          </w:p>
        </w:tc>
        <w:tc>
          <w:tcPr>
            <w:tcW w:w="0" w:type="auto"/>
          </w:tcPr>
          <w:p w14:paraId="1966F169" w14:textId="77777777" w:rsidR="00E42852" w:rsidRDefault="008C7ADD">
            <w:pPr>
              <w:pStyle w:val="Compact"/>
            </w:pPr>
            <m:oMath>
              <m:r>
                <w:rPr>
                  <w:rFonts w:ascii="Cambria Math" w:hAnsi="Cambria Math"/>
                </w:rPr>
                <m:t>          </m:t>
              </m:r>
            </m:oMath>
            <w:r>
              <w:t xml:space="preserve"> </w:t>
            </w:r>
            <w:r>
              <w:rPr>
                <w:noProof/>
              </w:rPr>
              <w:drawing>
                <wp:inline distT="0" distB="0" distL="0" distR="0" wp14:anchorId="31E654F8" wp14:editId="6C56830F">
                  <wp:extent cx="206275" cy="165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47a8b4be.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1D480550" w14:textId="77777777" w:rsidR="00E42852" w:rsidRDefault="008C7ADD">
            <w:pPr>
              <w:pStyle w:val="Compact"/>
            </w:pPr>
            <m:oMath>
              <m:r>
                <w:rPr>
                  <w:rFonts w:ascii="Cambria Math" w:hAnsi="Cambria Math"/>
                </w:rPr>
                <m:t>          </m:t>
              </m:r>
            </m:oMath>
            <w:r>
              <w:t xml:space="preserve"> </w:t>
            </w:r>
            <w:r>
              <w:rPr>
                <w:noProof/>
              </w:rPr>
              <w:drawing>
                <wp:inline distT="0" distB="0" distL="0" distR="0" wp14:anchorId="4DEED5E7" wp14:editId="5E90D7B5">
                  <wp:extent cx="206275" cy="1650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14f24ab3.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2634533E" w14:textId="77777777">
        <w:tc>
          <w:tcPr>
            <w:tcW w:w="0" w:type="auto"/>
          </w:tcPr>
          <w:p w14:paraId="06644409" w14:textId="77777777" w:rsidR="00E42852" w:rsidRDefault="008C7ADD">
            <w:pPr>
              <w:pStyle w:val="Compact"/>
            </w:pPr>
            <w:r>
              <w:t>5. Researcher error</w:t>
            </w:r>
          </w:p>
        </w:tc>
        <w:tc>
          <w:tcPr>
            <w:tcW w:w="0" w:type="auto"/>
          </w:tcPr>
          <w:p w14:paraId="4F92BA4D" w14:textId="77777777" w:rsidR="00E42852" w:rsidRDefault="008C7ADD">
            <w:pPr>
              <w:pStyle w:val="Compact"/>
            </w:pPr>
            <m:oMath>
              <m:r>
                <w:rPr>
                  <w:rFonts w:ascii="Cambria Math" w:hAnsi="Cambria Math"/>
                </w:rPr>
                <m:t>          </m:t>
              </m:r>
            </m:oMath>
            <w:r>
              <w:t xml:space="preserve"> </w:t>
            </w:r>
            <w:r>
              <w:rPr>
                <w:noProof/>
              </w:rPr>
              <w:drawing>
                <wp:inline distT="0" distB="0" distL="0" distR="0" wp14:anchorId="75B01DF5" wp14:editId="007A2CBB">
                  <wp:extent cx="206275" cy="1650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2f063883.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4B01FC2E" w14:textId="77777777" w:rsidR="00E42852" w:rsidRDefault="008C7ADD">
            <w:pPr>
              <w:pStyle w:val="Compact"/>
            </w:pPr>
            <m:oMath>
              <m:r>
                <w:rPr>
                  <w:rFonts w:ascii="Cambria Math" w:hAnsi="Cambria Math"/>
                </w:rPr>
                <m:t>          </m:t>
              </m:r>
            </m:oMath>
            <w:r>
              <w:t xml:space="preserve"> </w:t>
            </w:r>
            <w:r>
              <w:rPr>
                <w:noProof/>
              </w:rPr>
              <w:drawing>
                <wp:inline distT="0" distB="0" distL="0" distR="0" wp14:anchorId="6A12A4A0" wp14:editId="68426BC9">
                  <wp:extent cx="206275" cy="1650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qZiOIK/file5e7741683893.png"/>
                          <pic:cNvPicPr>
                            <a:picLocks noChangeAspect="1" noChangeArrowheads="1"/>
                          </pic:cNvPicPr>
                        </pic:nvPicPr>
                        <pic:blipFill>
                          <a:blip r:embed="rId48"/>
                          <a:stretch>
                            <a:fillRect/>
                          </a:stretch>
                        </pic:blipFill>
                        <pic:spPr bwMode="auto">
                          <a:xfrm>
                            <a:off x="0" y="0"/>
                            <a:ext cx="206275" cy="165020"/>
                          </a:xfrm>
                          <a:prstGeom prst="rect">
                            <a:avLst/>
                          </a:prstGeom>
                          <a:noFill/>
                          <a:ln w="9525">
                            <a:noFill/>
                            <a:headEnd/>
                            <a:tailEnd/>
                          </a:ln>
                        </pic:spPr>
                      </pic:pic>
                    </a:graphicData>
                  </a:graphic>
                </wp:inline>
              </w:drawing>
            </w:r>
          </w:p>
        </w:tc>
      </w:tr>
      <w:tr w:rsidR="00E42852" w14:paraId="2C057D9E" w14:textId="77777777">
        <w:tc>
          <w:tcPr>
            <w:tcW w:w="0" w:type="auto"/>
          </w:tcPr>
          <w:p w14:paraId="406A45E5" w14:textId="77777777" w:rsidR="00E42852" w:rsidRDefault="008C7ADD">
            <w:pPr>
              <w:pStyle w:val="Compact"/>
            </w:pPr>
            <w:r>
              <w:t>6. Researcher discretion</w:t>
            </w:r>
          </w:p>
        </w:tc>
        <w:tc>
          <w:tcPr>
            <w:tcW w:w="0" w:type="auto"/>
          </w:tcPr>
          <w:p w14:paraId="480829E6" w14:textId="77777777" w:rsidR="00E42852" w:rsidRDefault="008C7ADD">
            <w:pPr>
              <w:pStyle w:val="Compact"/>
            </w:pPr>
            <m:oMath>
              <m:r>
                <w:rPr>
                  <w:rFonts w:ascii="Cambria Math" w:hAnsi="Cambria Math"/>
                </w:rPr>
                <m:t>   </m:t>
              </m:r>
            </m:oMath>
            <w:r>
              <w:t xml:space="preserve"> No prediction</w:t>
            </w:r>
          </w:p>
        </w:tc>
        <w:tc>
          <w:tcPr>
            <w:tcW w:w="0" w:type="auto"/>
          </w:tcPr>
          <w:p w14:paraId="7C3C2FDF" w14:textId="77777777" w:rsidR="00E42852" w:rsidRDefault="008C7ADD">
            <w:pPr>
              <w:pStyle w:val="Compact"/>
            </w:pPr>
            <m:oMath>
              <m:r>
                <w:rPr>
                  <w:rFonts w:ascii="Cambria Math" w:hAnsi="Cambria Math"/>
                </w:rPr>
                <m:t>   </m:t>
              </m:r>
            </m:oMath>
            <w:r>
              <w:t xml:space="preserve"> No prediction</w:t>
            </w:r>
          </w:p>
        </w:tc>
      </w:tr>
    </w:tbl>
    <w:p w14:paraId="69B0D6C2" w14:textId="77777777" w:rsidR="00E42852" w:rsidRDefault="008C7ADD" w:rsidP="003F0A3B">
      <w:pPr>
        <w:pStyle w:val="BodyText"/>
        <w:ind w:firstLine="0"/>
      </w:pPr>
      <w:r>
        <w:rPr>
          <w:i/>
          <w:iCs/>
        </w:rPr>
        <w:t>Note</w:t>
      </w:r>
      <w:r>
        <w:t>.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14:paraId="402BD1CE" w14:textId="77777777" w:rsidR="00E42852" w:rsidRDefault="008C7ADD">
      <w:r>
        <w:br w:type="page"/>
      </w:r>
    </w:p>
    <w:p w14:paraId="6C1C92F1" w14:textId="77777777" w:rsidR="00E42852" w:rsidRDefault="008C7ADD">
      <w:pPr>
        <w:pStyle w:val="Heading2"/>
      </w:pPr>
      <w:bookmarkStart w:id="48" w:name="table-2"/>
      <w:bookmarkEnd w:id="47"/>
      <w:r>
        <w:lastRenderedPageBreak/>
        <w:t>Table 2</w:t>
      </w:r>
    </w:p>
    <w:p w14:paraId="1F3E0FDA" w14:textId="77777777" w:rsidR="00E42852" w:rsidRPr="00AA03E3" w:rsidRDefault="008C7ADD">
      <w:pPr>
        <w:pStyle w:val="Heading2"/>
        <w:rPr>
          <w:b w:val="0"/>
          <w:bCs/>
        </w:rPr>
      </w:pPr>
      <w:bookmarkStart w:id="49" w:name="X6e1ff75dbb55b570977d470923ee93666c6462a"/>
      <w:bookmarkEnd w:id="48"/>
      <w:r w:rsidRPr="00AA03E3">
        <w:rPr>
          <w:b w:val="0"/>
          <w:bCs/>
          <w:i/>
          <w:iCs/>
        </w:rPr>
        <w:t>Proposed credibility- and confidence-related benefits of crowdsourced data analysis</w:t>
      </w:r>
    </w:p>
    <w:tbl>
      <w:tblPr>
        <w:tblStyle w:val="Table"/>
        <w:tblW w:w="5000" w:type="pct"/>
        <w:tblLook w:val="0020" w:firstRow="1" w:lastRow="0" w:firstColumn="0" w:lastColumn="0" w:noHBand="0" w:noVBand="0"/>
      </w:tblPr>
      <w:tblGrid>
        <w:gridCol w:w="1848"/>
        <w:gridCol w:w="7558"/>
      </w:tblGrid>
      <w:tr w:rsidR="00E42852" w14:paraId="356DD9B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AF2F20B" w14:textId="77777777" w:rsidR="00E42852" w:rsidRDefault="008C7ADD">
            <w:pPr>
              <w:pStyle w:val="Compact"/>
            </w:pPr>
            <w:r>
              <w:t>Citation</w:t>
            </w:r>
          </w:p>
        </w:tc>
        <w:tc>
          <w:tcPr>
            <w:tcW w:w="0" w:type="auto"/>
          </w:tcPr>
          <w:p w14:paraId="453C4D4A" w14:textId="77777777" w:rsidR="00E42852" w:rsidRDefault="008C7ADD">
            <w:pPr>
              <w:pStyle w:val="Compact"/>
            </w:pPr>
            <w:r>
              <w:t>Description of credibility- or confidence-related benefits</w:t>
            </w:r>
          </w:p>
        </w:tc>
      </w:tr>
      <w:tr w:rsidR="00E42852" w14:paraId="4D9B48D2" w14:textId="77777777">
        <w:tc>
          <w:tcPr>
            <w:tcW w:w="0" w:type="auto"/>
          </w:tcPr>
          <w:p w14:paraId="52450B8E" w14:textId="5EC35BC9" w:rsidR="00E42852" w:rsidRDefault="008C7ADD">
            <w:pPr>
              <w:pStyle w:val="Compact"/>
            </w:pPr>
            <w:proofErr w:type="spellStart"/>
            <w:r>
              <w:t>Aczel</w:t>
            </w:r>
            <w:proofErr w:type="spellEnd"/>
            <w:r>
              <w:t xml:space="preserve"> et al., 2021, pp. 3–4</w:t>
            </w:r>
          </w:p>
        </w:tc>
        <w:tc>
          <w:tcPr>
            <w:tcW w:w="0" w:type="auto"/>
          </w:tcPr>
          <w:p w14:paraId="3DD91F87" w14:textId="77777777" w:rsidR="00E42852" w:rsidRDefault="008C7ADD">
            <w:pPr>
              <w:pStyle w:val="Compact"/>
            </w:pPr>
            <w:r>
              <w:t>“When the results of independent data analyses converge, more confidence in the conclusions is warranted. When the results diverge, confidence appropriately falters, and scientists can examine the reasons for these discrepancies.”</w:t>
            </w:r>
          </w:p>
        </w:tc>
      </w:tr>
      <w:tr w:rsidR="00E42852" w14:paraId="27398A43" w14:textId="77777777">
        <w:tc>
          <w:tcPr>
            <w:tcW w:w="0" w:type="auto"/>
          </w:tcPr>
          <w:p w14:paraId="594584C4" w14:textId="6242280C" w:rsidR="00E42852" w:rsidRDefault="008C7ADD">
            <w:pPr>
              <w:pStyle w:val="Compact"/>
            </w:pPr>
            <w:proofErr w:type="spellStart"/>
            <w:r>
              <w:t>Arbon</w:t>
            </w:r>
            <w:proofErr w:type="spellEnd"/>
            <w:r>
              <w:t xml:space="preserve"> et al., 2019</w:t>
            </w:r>
          </w:p>
        </w:tc>
        <w:tc>
          <w:tcPr>
            <w:tcW w:w="0" w:type="auto"/>
          </w:tcPr>
          <w:p w14:paraId="5B03434B" w14:textId="77777777" w:rsidR="00E42852" w:rsidRDefault="008C7ADD">
            <w:pPr>
              <w:pStyle w:val="Compact"/>
            </w:pPr>
            <w:r>
              <w:t>“For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 ‘crowd-sourcing’ the data analysis.”</w:t>
            </w:r>
          </w:p>
        </w:tc>
      </w:tr>
      <w:tr w:rsidR="00E42852" w14:paraId="14855E46" w14:textId="77777777">
        <w:tc>
          <w:tcPr>
            <w:tcW w:w="0" w:type="auto"/>
          </w:tcPr>
          <w:p w14:paraId="6579E309" w14:textId="087BD4E7" w:rsidR="00E42852" w:rsidRDefault="008C7ADD">
            <w:pPr>
              <w:pStyle w:val="Compact"/>
            </w:pPr>
            <w:proofErr w:type="spellStart"/>
            <w:r>
              <w:t>Auspurg</w:t>
            </w:r>
            <w:proofErr w:type="spellEnd"/>
            <w:r>
              <w:t xml:space="preserve"> &amp; </w:t>
            </w:r>
            <w:proofErr w:type="spellStart"/>
            <w:r>
              <w:t>Brüderl</w:t>
            </w:r>
            <w:proofErr w:type="spellEnd"/>
            <w:r>
              <w:t>, 2021, pp. 1, 10</w:t>
            </w:r>
          </w:p>
        </w:tc>
        <w:tc>
          <w:tcPr>
            <w:tcW w:w="0" w:type="auto"/>
          </w:tcPr>
          <w:p w14:paraId="1007C10A" w14:textId="77777777" w:rsidR="00E42852" w:rsidRDefault="008C7ADD">
            <w:pPr>
              <w:pStyle w:val="Compact"/>
            </w:pPr>
            <w:r>
              <w:t>“Several researchers analyze the same research question with the same data (…) Science is credible if different researchers come up with a similar answer”</w:t>
            </w:r>
          </w:p>
        </w:tc>
      </w:tr>
      <w:tr w:rsidR="00E42852" w14:paraId="29C8E279" w14:textId="77777777">
        <w:tc>
          <w:tcPr>
            <w:tcW w:w="0" w:type="auto"/>
          </w:tcPr>
          <w:p w14:paraId="5B7E5B66" w14:textId="1CA390AB" w:rsidR="00E42852" w:rsidRDefault="008C7ADD">
            <w:pPr>
              <w:pStyle w:val="Compact"/>
            </w:pPr>
            <w:proofErr w:type="spellStart"/>
            <w:r>
              <w:t>Breznau</w:t>
            </w:r>
            <w:proofErr w:type="spellEnd"/>
            <w:r>
              <w:t xml:space="preserve"> et al., 2021, p. 3</w:t>
            </w:r>
          </w:p>
        </w:tc>
        <w:tc>
          <w:tcPr>
            <w:tcW w:w="0" w:type="auto"/>
          </w:tcPr>
          <w:p w14:paraId="19854C32" w14:textId="77777777" w:rsidR="00E42852" w:rsidRDefault="008C7ADD">
            <w:pPr>
              <w:pStyle w:val="Compact"/>
            </w:pPr>
            <w:r>
              <w:t>“Organized scientific knowledge production (…) should generate inter-researcher reliability, offering consumers of scientific findings assurance that they are not arbitrary flukes but that other researchers would generate similar findings given the same data.”</w:t>
            </w:r>
          </w:p>
        </w:tc>
      </w:tr>
      <w:tr w:rsidR="00E42852" w14:paraId="4ACC782C" w14:textId="77777777">
        <w:tc>
          <w:tcPr>
            <w:tcW w:w="0" w:type="auto"/>
          </w:tcPr>
          <w:p w14:paraId="1AA4FA4D" w14:textId="58851A94" w:rsidR="00E42852" w:rsidRDefault="008C7ADD">
            <w:pPr>
              <w:pStyle w:val="Compact"/>
            </w:pPr>
            <w:proofErr w:type="spellStart"/>
            <w:r>
              <w:t>Breznau</w:t>
            </w:r>
            <w:proofErr w:type="spellEnd"/>
            <w:r>
              <w:t>, 2021, p. 311</w:t>
            </w:r>
          </w:p>
        </w:tc>
        <w:tc>
          <w:tcPr>
            <w:tcW w:w="0" w:type="auto"/>
          </w:tcPr>
          <w:p w14:paraId="4623143E" w14:textId="77777777" w:rsidR="00E42852" w:rsidRDefault="008C7ADD">
            <w:pPr>
              <w:pStyle w:val="Compact"/>
            </w:pPr>
            <w:r>
              <w:t>“crowdsourcing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p>
        </w:tc>
      </w:tr>
      <w:tr w:rsidR="00E42852" w14:paraId="16410834" w14:textId="77777777">
        <w:tc>
          <w:tcPr>
            <w:tcW w:w="0" w:type="auto"/>
          </w:tcPr>
          <w:p w14:paraId="212B0E2C" w14:textId="549B00FB" w:rsidR="00E42852" w:rsidRDefault="008C7ADD">
            <w:pPr>
              <w:pStyle w:val="Compact"/>
            </w:pPr>
            <w:proofErr w:type="spellStart"/>
            <w:r>
              <w:t>Silberzahn</w:t>
            </w:r>
            <w:proofErr w:type="spellEnd"/>
            <w:r>
              <w:t xml:space="preserve"> &amp; Uhlmann, 2015, pp. 190–191</w:t>
            </w:r>
          </w:p>
        </w:tc>
        <w:tc>
          <w:tcPr>
            <w:tcW w:w="0" w:type="auto"/>
          </w:tcPr>
          <w:p w14:paraId="0BCB6DD4" w14:textId="77777777" w:rsidR="00E42852" w:rsidRDefault="008C7ADD">
            <w:pPr>
              <w:pStyle w:val="Compact"/>
            </w:pPr>
            <w:r>
              <w:t>“</w:t>
            </w:r>
            <w:proofErr w:type="gramStart"/>
            <w:r>
              <w:t>the</w:t>
            </w:r>
            <w:proofErr w:type="gramEnd"/>
            <w:r>
              <w:t xml:space="preserve"> results are more credible (…) greater certainty comes from having an independent check.”</w:t>
            </w:r>
          </w:p>
        </w:tc>
      </w:tr>
      <w:tr w:rsidR="00E42852" w14:paraId="550029EB" w14:textId="77777777">
        <w:tc>
          <w:tcPr>
            <w:tcW w:w="0" w:type="auto"/>
          </w:tcPr>
          <w:p w14:paraId="57E4707B" w14:textId="56AEB3A0" w:rsidR="00E42852" w:rsidRDefault="008C7ADD">
            <w:pPr>
              <w:pStyle w:val="Compact"/>
            </w:pPr>
            <w:proofErr w:type="spellStart"/>
            <w:r>
              <w:t>Silberzahn</w:t>
            </w:r>
            <w:proofErr w:type="spellEnd"/>
            <w:r>
              <w:t xml:space="preserve"> et al., 2018, p. 352</w:t>
            </w:r>
          </w:p>
        </w:tc>
        <w:tc>
          <w:tcPr>
            <w:tcW w:w="0" w:type="auto"/>
          </w:tcPr>
          <w:p w14:paraId="71BC045C" w14:textId="77777777" w:rsidR="00E42852" w:rsidRDefault="008C7ADD">
            <w:pPr>
              <w:pStyle w:val="Compact"/>
            </w:pPr>
            <w:r>
              <w:t>“Scientists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p>
        </w:tc>
      </w:tr>
      <w:tr w:rsidR="00E42852" w14:paraId="16CD0A67" w14:textId="77777777">
        <w:tc>
          <w:tcPr>
            <w:tcW w:w="0" w:type="auto"/>
          </w:tcPr>
          <w:p w14:paraId="0254F6D0" w14:textId="2134A997" w:rsidR="00E42852" w:rsidRDefault="008C7ADD">
            <w:pPr>
              <w:pStyle w:val="Compact"/>
            </w:pPr>
            <w:r>
              <w:lastRenderedPageBreak/>
              <w:t>Uhlmann et al., 2019, p. 713</w:t>
            </w:r>
          </w:p>
        </w:tc>
        <w:tc>
          <w:tcPr>
            <w:tcW w:w="0" w:type="auto"/>
          </w:tcPr>
          <w:p w14:paraId="108D4642" w14:textId="77777777" w:rsidR="00E42852" w:rsidRDefault="008C7ADD">
            <w:pPr>
              <w:pStyle w:val="Compact"/>
            </w:pPr>
            <w:r>
              <w:t>“</w:t>
            </w:r>
            <w:proofErr w:type="gramStart"/>
            <w:r>
              <w:t>crowdsourced</w:t>
            </w:r>
            <w:proofErr w:type="gramEnd"/>
            <w:r>
              <w:t xml:space="preserve"> teams can conduct high-powered, precise studies and draw confident conclusions. (…) Crowdsourcing research is a part of a changing landscape of science that seeks to improve research reliability and advance the credibility of academic research”</w:t>
            </w:r>
          </w:p>
        </w:tc>
      </w:tr>
    </w:tbl>
    <w:p w14:paraId="5314D347" w14:textId="77777777" w:rsidR="00E42852" w:rsidRDefault="008C7ADD">
      <w:r>
        <w:br w:type="page"/>
      </w:r>
    </w:p>
    <w:p w14:paraId="60FA3E08" w14:textId="77777777" w:rsidR="00E42852" w:rsidRDefault="008C7ADD">
      <w:pPr>
        <w:pStyle w:val="Heading1"/>
      </w:pPr>
      <w:bookmarkStart w:id="50" w:name="figures"/>
      <w:bookmarkEnd w:id="46"/>
      <w:bookmarkEnd w:id="49"/>
      <w:r>
        <w:lastRenderedPageBreak/>
        <w:t>Figures</w:t>
      </w:r>
    </w:p>
    <w:p w14:paraId="7B2AA0AE" w14:textId="77777777" w:rsidR="00E42852" w:rsidRDefault="008C7ADD">
      <w:pPr>
        <w:pStyle w:val="Heading2"/>
      </w:pPr>
      <w:bookmarkStart w:id="51" w:name="figure-1"/>
      <w:r>
        <w:t>Figure 1</w:t>
      </w:r>
    </w:p>
    <w:p w14:paraId="2D632301" w14:textId="77777777" w:rsidR="00E42852" w:rsidRDefault="008C7ADD" w:rsidP="009B00BE">
      <w:pPr>
        <w:pStyle w:val="FirstParagraph"/>
        <w:ind w:firstLine="0"/>
      </w:pPr>
      <w:r>
        <w:rPr>
          <w:i/>
          <w:iCs/>
        </w:rPr>
        <w:t>Estimates of differences with the single estimate condition</w:t>
      </w:r>
      <w:r>
        <w:t xml:space="preserve">  </w:t>
      </w:r>
      <w:r>
        <w:rPr>
          <w:noProof/>
        </w:rPr>
        <w:drawing>
          <wp:inline distT="0" distB="0" distL="0" distR="0" wp14:anchorId="572DE545" wp14:editId="16C16D72">
            <wp:extent cx="5969000" cy="426357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1c.jpg"/>
                    <pic:cNvPicPr>
                      <a:picLocks noChangeAspect="1" noChangeArrowheads="1"/>
                    </pic:cNvPicPr>
                  </pic:nvPicPr>
                  <pic:blipFill>
                    <a:blip r:embed="rId5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14:paraId="4F42B780" w14:textId="77777777" w:rsidR="00E42852" w:rsidRDefault="008C7ADD">
      <w:r>
        <w:br w:type="page"/>
      </w:r>
    </w:p>
    <w:p w14:paraId="4D86970B" w14:textId="77777777" w:rsidR="00E42852" w:rsidRDefault="008C7ADD">
      <w:pPr>
        <w:pStyle w:val="Heading2"/>
      </w:pPr>
      <w:bookmarkStart w:id="52" w:name="figure-2"/>
      <w:bookmarkEnd w:id="51"/>
      <w:r>
        <w:lastRenderedPageBreak/>
        <w:t>Figure 2</w:t>
      </w:r>
    </w:p>
    <w:p w14:paraId="3F5D7044" w14:textId="77777777" w:rsidR="00E42852" w:rsidRDefault="008C7ADD" w:rsidP="009B00BE">
      <w:pPr>
        <w:pStyle w:val="FirstParagraph"/>
        <w:ind w:firstLine="0"/>
      </w:pPr>
      <w:r>
        <w:rPr>
          <w:i/>
          <w:iCs/>
        </w:rPr>
        <w:t>Individual data points, quartiles, and distributions of prior and posterior beliefs in the single estimate, consistent crowd, and inconsistent crowd conditions</w:t>
      </w:r>
      <w:r>
        <w:br/>
        <w:t xml:space="preserve"> </w:t>
      </w:r>
      <w:r>
        <w:rPr>
          <w:noProof/>
        </w:rPr>
        <w:drawing>
          <wp:inline distT="0" distB="0" distL="0" distR="0" wp14:anchorId="15907F0A" wp14:editId="63666731">
            <wp:extent cx="5969000" cy="426357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2b.jpg"/>
                    <pic:cNvPicPr>
                      <a:picLocks noChangeAspect="1" noChangeArrowheads="1"/>
                    </pic:cNvPicPr>
                  </pic:nvPicPr>
                  <pic:blipFill>
                    <a:blip r:embed="rId51"/>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50"/>
      <w:bookmarkEnd w:id="52"/>
    </w:p>
    <w:sectPr w:rsidR="00E42852" w:rsidSect="00CB20D0">
      <w:headerReference w:type="even" r:id="rId52"/>
      <w:headerReference w:type="default" r:id="rId53"/>
      <w:headerReference w:type="first" r:id="rId5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0957" w14:textId="77777777" w:rsidR="00455919" w:rsidRDefault="00455919">
      <w:pPr>
        <w:spacing w:before="0" w:after="0" w:line="240" w:lineRule="auto"/>
      </w:pPr>
      <w:r>
        <w:separator/>
      </w:r>
    </w:p>
  </w:endnote>
  <w:endnote w:type="continuationSeparator" w:id="0">
    <w:p w14:paraId="4518A2DF" w14:textId="77777777" w:rsidR="00455919" w:rsidRDefault="004559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E187" w14:textId="77777777" w:rsidR="00455919" w:rsidRDefault="00455919">
      <w:r>
        <w:separator/>
      </w:r>
    </w:p>
  </w:footnote>
  <w:footnote w:type="continuationSeparator" w:id="0">
    <w:p w14:paraId="3285A32C" w14:textId="77777777" w:rsidR="00455919" w:rsidRDefault="00455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4CDF41B" w14:textId="77777777" w:rsidR="00AF36ED" w:rsidRDefault="008C7AD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AB8A1" w14:textId="77777777" w:rsidR="00AF36ED" w:rsidRDefault="0045591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59F4767" w14:textId="77777777" w:rsidR="00AF36ED" w:rsidRDefault="008C7AD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82DEC2" w14:textId="77777777" w:rsidR="00AF36ED" w:rsidRPr="00A05772" w:rsidRDefault="008C7ADD" w:rsidP="00572FF5">
    <w:pPr>
      <w:pStyle w:val="Header"/>
      <w:ind w:right="357"/>
    </w:pPr>
    <w:r>
      <w:t>THE SWAY OF CROWD SCIENCE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38ED8C2" w14:textId="77777777" w:rsidR="00DA0F6A" w:rsidRDefault="008C7ADD"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1E801D" w14:textId="77777777" w:rsidR="00DA0F6A" w:rsidRDefault="008C7ADD" w:rsidP="00DA0F6A">
    <w:pPr>
      <w:pStyle w:val="Header"/>
      <w:ind w:right="360"/>
    </w:pPr>
    <w:r>
      <w:t>Running head: THE SWAY OF CROWD SCIENCE</w:t>
    </w:r>
  </w:p>
  <w:p w14:paraId="0F25B945" w14:textId="77777777" w:rsidR="00CB20D0" w:rsidRPr="00A05772" w:rsidRDefault="00455919"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B06"/>
    <w:rsid w:val="001F019E"/>
    <w:rsid w:val="00360996"/>
    <w:rsid w:val="003713CC"/>
    <w:rsid w:val="00393C16"/>
    <w:rsid w:val="003B1034"/>
    <w:rsid w:val="003D7F12"/>
    <w:rsid w:val="003F0A3B"/>
    <w:rsid w:val="00455919"/>
    <w:rsid w:val="00467E1E"/>
    <w:rsid w:val="00486BED"/>
    <w:rsid w:val="004E29B3"/>
    <w:rsid w:val="004F618A"/>
    <w:rsid w:val="004F6FAF"/>
    <w:rsid w:val="005839B4"/>
    <w:rsid w:val="00590D07"/>
    <w:rsid w:val="006E67B8"/>
    <w:rsid w:val="00735D50"/>
    <w:rsid w:val="00784D58"/>
    <w:rsid w:val="007B3C18"/>
    <w:rsid w:val="00876CFD"/>
    <w:rsid w:val="008C7ADD"/>
    <w:rsid w:val="008D6863"/>
    <w:rsid w:val="009B00BE"/>
    <w:rsid w:val="00A625A4"/>
    <w:rsid w:val="00A76FCC"/>
    <w:rsid w:val="00A91EAD"/>
    <w:rsid w:val="00AA03E3"/>
    <w:rsid w:val="00B75F59"/>
    <w:rsid w:val="00B86B75"/>
    <w:rsid w:val="00BC48D5"/>
    <w:rsid w:val="00BC6DC1"/>
    <w:rsid w:val="00C36279"/>
    <w:rsid w:val="00CA2481"/>
    <w:rsid w:val="00CB68B9"/>
    <w:rsid w:val="00D4545D"/>
    <w:rsid w:val="00E315A3"/>
    <w:rsid w:val="00E42852"/>
    <w:rsid w:val="00E50447"/>
    <w:rsid w:val="00F1179F"/>
    <w:rsid w:val="00F87D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CF506"/>
  <w15:docId w15:val="{05248238-D912-FD48-8E72-4518CC2D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jorvlan/raincloudplots" TargetMode="External"/><Relationship Id="rId26" Type="http://schemas.openxmlformats.org/officeDocument/2006/relationships/hyperlink" Target="https://doi.org/10.1007/1-4020-2278-6_17" TargetMode="External"/><Relationship Id="rId39" Type="http://schemas.openxmlformats.org/officeDocument/2006/relationships/hyperlink" Target="https://doi.org/10.1177/2515245917747646" TargetMode="External"/><Relationship Id="rId21" Type="http://schemas.openxmlformats.org/officeDocument/2006/relationships/hyperlink" Target="https://github.com/crsh/papaja" TargetMode="External"/><Relationship Id="rId34" Type="http://schemas.openxmlformats.org/officeDocument/2006/relationships/hyperlink" Target="https://CRAN.R-project.org/package=rsvg" TargetMode="External"/><Relationship Id="rId42" Type="http://schemas.openxmlformats.org/officeDocument/2006/relationships/hyperlink" Target="https://doi.org/10.1177/1745691619850561" TargetMode="External"/><Relationship Id="rId47" Type="http://schemas.openxmlformats.org/officeDocument/2006/relationships/hyperlink" Target="https://bookdown.org/yihui/rmarkdown-cookbook" TargetMode="External"/><Relationship Id="rId50" Type="http://schemas.openxmlformats.org/officeDocument/2006/relationships/image" Target="media/image3.jpg"/><Relationship Id="rId55" Type="http://schemas.openxmlformats.org/officeDocument/2006/relationships/fontTable" Target="fontTable.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9" Type="http://schemas.openxmlformats.org/officeDocument/2006/relationships/hyperlink" Target="https://doi.org/10.1037/a0040437" TargetMode="External"/><Relationship Id="rId11" Type="http://schemas.openxmlformats.org/officeDocument/2006/relationships/hyperlink" Target="https://osf.io/vedb4/" TargetMode="External"/><Relationship Id="rId24" Type="http://schemas.openxmlformats.org/officeDocument/2006/relationships/hyperlink" Target="https://doi.org/10.31222/osf.io/cd5j9" TargetMode="External"/><Relationship Id="rId32" Type="http://schemas.openxmlformats.org/officeDocument/2006/relationships/hyperlink" Target="https://doi.org/10.1177/0081175018777988" TargetMode="External"/><Relationship Id="rId37" Type="http://schemas.openxmlformats.org/officeDocument/2006/relationships/hyperlink" Target="https://doi.org/10.1016/j.obhdp.2021.02.003" TargetMode="External"/><Relationship Id="rId40" Type="http://schemas.openxmlformats.org/officeDocument/2006/relationships/hyperlink" Target="https://doi.org/10.1177/1745691616658637" TargetMode="External"/><Relationship Id="rId45" Type="http://schemas.openxmlformats.org/officeDocument/2006/relationships/hyperlink" Target="https://CRAN.R-project.org/package=readr"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shilaan/many-analysts" TargetMode="External"/><Relationship Id="rId19" Type="http://schemas.openxmlformats.org/officeDocument/2006/relationships/hyperlink" Target="https://doi.org/10.17605/OSF.IO/7VQ3B" TargetMode="External"/><Relationship Id="rId31" Type="http://schemas.openxmlformats.org/officeDocument/2006/relationships/hyperlink" Target="https://doi.org/10.1146/annurev-psych-010814-015013" TargetMode="External"/><Relationship Id="rId44" Type="http://schemas.openxmlformats.org/officeDocument/2006/relationships/hyperlink" Target="https://CRAN.R-project.org/package=dplyr"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github.com/mariusbarth/tinylabels" TargetMode="External"/><Relationship Id="rId27" Type="http://schemas.openxmlformats.org/officeDocument/2006/relationships/hyperlink" Target="https://CRAN.R-project.org/package=purrr" TargetMode="External"/><Relationship Id="rId30" Type="http://schemas.openxmlformats.org/officeDocument/2006/relationships/hyperlink" Target="https://doi.org/10.2307/2392366" TargetMode="External"/><Relationship Id="rId35" Type="http://schemas.openxmlformats.org/officeDocument/2006/relationships/hyperlink" Target="https://doi.org/10.1177/1745691612465253" TargetMode="External"/><Relationship Id="rId43" Type="http://schemas.openxmlformats.org/officeDocument/2006/relationships/hyperlink" Target="https://ggplot2.tidyverse.org" TargetMode="External"/><Relationship Id="rId48" Type="http://schemas.openxmlformats.org/officeDocument/2006/relationships/image" Target="media/image1.png"/><Relationship Id="rId56" Type="http://schemas.openxmlformats.org/officeDocument/2006/relationships/theme" Target="theme/theme1.xml"/><Relationship Id="rId8" Type="http://schemas.openxmlformats.org/officeDocument/2006/relationships/hyperlink" Target="https://osf.io/rpu98" TargetMode="External"/><Relationship Id="rId51"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doi.org/10.31222/osf.io/5ecnh" TargetMode="External"/><Relationship Id="rId25" Type="http://schemas.openxmlformats.org/officeDocument/2006/relationships/hyperlink" Target="https://doi.org/10.1016/j.respol.2013.07.005" TargetMode="External"/><Relationship Id="rId33" Type="http://schemas.openxmlformats.org/officeDocument/2006/relationships/hyperlink" Target="https://CRAN.R-project.org/package=here" TargetMode="External"/><Relationship Id="rId38" Type="http://schemas.openxmlformats.org/officeDocument/2006/relationships/hyperlink" Target="https://doi.org/10.1038/526189a" TargetMode="External"/><Relationship Id="rId46" Type="http://schemas.openxmlformats.org/officeDocument/2006/relationships/hyperlink" Target="https://bookdown.org/yihui/rmarkdown" TargetMode="External"/><Relationship Id="rId20" Type="http://schemas.openxmlformats.org/officeDocument/2006/relationships/hyperlink" Target="https://doi.org/10.1177/23780231211024421" TargetMode="External"/><Relationship Id="rId41" Type="http://schemas.openxmlformats.org/officeDocument/2006/relationships/hyperlink" Target="https://doi.org/10.1177/1094428115610808"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vedb4/" TargetMode="External"/><Relationship Id="rId23" Type="http://schemas.openxmlformats.org/officeDocument/2006/relationships/hyperlink" Target="https://doi.org/10.1017/S1049096520000980" TargetMode="External"/><Relationship Id="rId28" Type="http://schemas.openxmlformats.org/officeDocument/2006/relationships/hyperlink" Target="https://CRAN.R-project.org/package=glue" TargetMode="External"/><Relationship Id="rId36" Type="http://schemas.openxmlformats.org/officeDocument/2006/relationships/hyperlink" Target="https://www.R-project.org/"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4710</Words>
  <Characters>26852</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31500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Shilaan Alzahawi</dc:creator>
  <cp:keywords/>
  <cp:lastModifiedBy>Shilaan Alzahawi</cp:lastModifiedBy>
  <cp:revision>30</cp:revision>
  <dcterms:created xsi:type="dcterms:W3CDTF">2021-11-02T11:01:00Z</dcterms:created>
  <dcterms:modified xsi:type="dcterms:W3CDTF">2021-11-02T11:22:00Z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