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7.jpg" ContentType="image/jpeg"/>
  <Override PartName="/word/media/rId119.jpg" ContentType="image/jpeg"/>
  <Override PartName="/word/media/rId110.png" ContentType="image/png"/>
  <Override PartName="/word/media/rId108.png" ContentType="image/png"/>
  <Override PartName="/word/media/rId111.png" ContentType="image/png"/>
  <Override PartName="/word/media/rId103.png" ContentType="image/png"/>
  <Override PartName="/word/media/rId107.png" ContentType="image/png"/>
  <Override PartName="/word/media/rId112.png" ContentType="image/png"/>
  <Override PartName="/word/media/rId109.png" ContentType="image/png"/>
  <Override PartName="/word/media/rId106.png" ContentType="image/png"/>
  <Override PartName="/word/media/rId105.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Scientific</w:t>
      </w:r>
      <w:r>
        <w:t xml:space="preserve"> </w:t>
      </w:r>
      <w:r>
        <w:t xml:space="preserve">Findings:</w:t>
      </w:r>
      <w:r>
        <w:t xml:space="preserve"> </w:t>
      </w:r>
      <w:r>
        <w:t xml:space="preserve">Swayed</w:t>
      </w:r>
      <w:r>
        <w:t xml:space="preserve"> </w:t>
      </w:r>
      <w:r>
        <w:t xml:space="preserve">by</w:t>
      </w:r>
      <w:r>
        <w:t xml:space="preserve"> </w:t>
      </w:r>
      <w:r>
        <w:t xml:space="preserve">the</w:t>
      </w:r>
      <w:r>
        <w:t xml:space="preserve"> </w:t>
      </w:r>
      <w:r>
        <w:t xml:space="preserve">Crowd?</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estimate and report a parameter of interest. We compare the effects of providing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2,222</w:t>
      </w:r>
    </w:p>
    <w:p>
      <w:pPr>
        <w:pStyle w:val="h1-pagebreak"/>
      </w:pPr>
      <w:r>
        <w:t xml:space="preserve">Lay Perceptions of Scientific Findings: Swayed by the Crowd?</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a crowd of scientists independently analyzes the same dataset to estimate and report on a parameter of interest.</w:t>
      </w:r>
      <w:r>
        <w:br/>
      </w:r>
      <w:r>
        <w:t xml:space="preserve">According to some of its proponents, crowdsourced data analysis should increase the credibility of scientific findings to lay consumers. In the preregistration of an ongoing many-analysts study, Arbon and colleagues</w:t>
      </w:r>
      <w:r>
        <w:t xml:space="preserve"> </w:t>
      </w:r>
      <w:r>
        <w:t xml:space="preserve">(2019)</w:t>
      </w:r>
      <w:r>
        <w:t xml:space="preserve"> </w:t>
      </w:r>
      <w:r>
        <w:t xml:space="preserve">justify their use of the novel approach by referring to the need for</w:t>
      </w:r>
      <w:r>
        <w:t xml:space="preserve"> </w:t>
      </w:r>
      <w:r>
        <w:t xml:space="preserve">“</w:t>
      </w:r>
      <w:r>
        <w:t xml:space="preserve">the public to have faith in the conclusions of scientists.</w:t>
      </w:r>
      <w:r>
        <w:t xml:space="preserve">”</w:t>
      </w:r>
      <w:r>
        <w:t xml:space="preserve"> </w:t>
      </w:r>
      <w:r>
        <w:t xml:space="preserve">In a preprint of a conducted multi-analyst study, Breznau and colleagues</w:t>
      </w:r>
      <w:r>
        <w:t xml:space="preserve"> </w:t>
      </w:r>
      <w:r>
        <w:t xml:space="preserve">(2021, p. 3)</w:t>
      </w:r>
      <w:r>
        <w:t xml:space="preserve"> </w:t>
      </w:r>
      <w:r>
        <w:t xml:space="preserve">argue that independent data analyses with converging findings should offer</w:t>
      </w:r>
      <w:r>
        <w:t xml:space="preserve"> </w:t>
      </w:r>
      <w:r>
        <w:t xml:space="preserve">“</w:t>
      </w:r>
      <w:r>
        <w:t xml:space="preserve">consumers of scientific findings assurance that they are not arbitrary flukes.</w:t>
      </w:r>
      <w:r>
        <w:t xml:space="preserve">”</w:t>
      </w:r>
      <w:r>
        <w:t xml:space="preserve"> </w:t>
      </w:r>
      <w:r>
        <w:t xml:space="preserve">In a commentary on the many analysts approach, Breznau</w:t>
      </w:r>
      <w:r>
        <w:t xml:space="preserve"> </w:t>
      </w:r>
      <w:r>
        <w:t xml:space="preserve">(2021, p. 311)</w:t>
      </w:r>
      <w:r>
        <w:t xml:space="preserve">, offers the hopeful view that crowdsourcing is a new way to</w:t>
      </w:r>
      <w:r>
        <w:t xml:space="preserve"> </w:t>
      </w:r>
      <w:r>
        <w:t xml:space="preserve">“</w:t>
      </w:r>
      <w:r>
        <w:t xml:space="preserve">increase public, private, and government views of social science</w:t>
      </w:r>
      <w:r>
        <w:t xml:space="preserve">”</w:t>
      </w:r>
      <w:r>
        <w:t xml:space="preserve"> </w:t>
      </w:r>
      <w:r>
        <w:t xml:space="preserve">and to</w:t>
      </w:r>
      <w:r>
        <w:t xml:space="preserve"> </w:t>
      </w:r>
      <w:r>
        <w:t xml:space="preserve">“</w:t>
      </w:r>
      <w:r>
        <w:t xml:space="preserve">increase credibility for political and social research—in both sample populations and among the researchers themselves.</w:t>
      </w:r>
      <w:r>
        <w:t xml:space="preserve">”</w:t>
      </w:r>
      <w:r>
        <w:t xml:space="preserve"> </w:t>
      </w:r>
      <w:r>
        <w:t xml:space="preserve">Does crowd science meet this promise – to improve lay perceptions of scientific findings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 estimate condition) vs. multiple parameter estimates that (a) vary slightly and are all positive, leading to the same qualitative conclusion (the consistent crowd condition) or (b) vary widely and are of both signs, leading to differing qualitative conclusions (the inconsistent crowd condition).</w:t>
      </w:r>
      <w:r>
        <w:br/>
      </w:r>
      <w:r>
        <w:t xml:space="preserve">In line with social norms theory</w:t>
      </w:r>
      <w:r>
        <w:t xml:space="preserve"> </w:t>
      </w:r>
      <w:r>
        <w:t xml:space="preserve">(Miller &amp; Prentice, 2016)</w:t>
      </w:r>
      <w:r>
        <w:t xml:space="preserve">, we expect that observing consensus among a crowd (the consistent crowd condition) will – compared to the conclusion of a single scientist (the single estimate condition) – increase conformity in opinion. Drawing from work on intuitive statistics</w:t>
      </w:r>
      <w:r>
        <w:t xml:space="preserve"> </w:t>
      </w:r>
      <w:r>
        <w:t xml:space="preserve">(Gigerenzer &amp; Murray, 2015)</w:t>
      </w:r>
      <w:r>
        <w:t xml:space="preserve">, we also expect laypeople to intuitively accord to the logic of</w:t>
      </w:r>
      <w:r>
        <w:t xml:space="preserve"> </w:t>
      </w:r>
      <w:r>
        <w:t xml:space="preserve">“</w:t>
      </w:r>
      <w:r>
        <w:t xml:space="preserve">the wisdom of crowds</w:t>
      </w:r>
      <w:r>
        <w:t xml:space="preserve">”</w:t>
      </w:r>
      <w:r>
        <w:t xml:space="preserve">: the ability of an aggregate of estimates (rather than a single estimate) to reduce noise stemming from individual bias or error</w:t>
      </w:r>
      <w:r>
        <w:t xml:space="preserve"> </w:t>
      </w:r>
      <w:r>
        <w:t xml:space="preserve">(Schweinsberg et al., 2021)</w:t>
      </w:r>
      <w:r>
        <w:t xml:space="preserve">.</w:t>
      </w:r>
      <w:r>
        <w:br/>
      </w:r>
      <w:r>
        <w:t xml:space="preserve">In contrast, when crowd estimates show low consensus and high variance (the inconsistent crowd condition), we predict that observers will be less swayed and more likely to attribute the findings to bias and error. In addition, due to the difficulty of lay reasoning about variation</w:t>
      </w:r>
      <w:r>
        <w:t xml:space="preserve"> </w:t>
      </w:r>
      <w:r>
        <w:t xml:space="preserve">(Garfield &amp; Ben-Zvi, 2004)</w:t>
      </w:r>
      <w:r>
        <w:t xml:space="preserve">, we predict an aversion to variability: i.e., we expect that observing variable estimates will decrease lay confidence in the precise average parameter estimate in both crowd conditions. In sum,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1: we hypothesized that in the consistent crowd condition (compared to the single estimate condition, and controlling for prior beliefs), lay consumers would have higher posterior beliefs, would find the results more credible, and would be less likely to believe the results stem from bias or error. For the inconsistent crowd condition, we hypothesized that (compared to the single estimate condition, and controlling for prior beliefs)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crowd conditions.</w:t>
      </w:r>
      <w:r>
        <w:br/>
      </w:r>
      <w:r>
        <w:t xml:space="preserve">In sum, our preregistered hypotheses are as follows: when laypeople observe multiple consistent (inconsistent) estimates from a crowd of independent scientists, we expect – compared to a single estimate and controlling for prior beliefs – higher (lower) posterior beliefs and credibility of the results, lower confidence in the precise average parameter estimate, and lower (greater) ratings of bias and error.</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 estimate condition, a single team of six researchers reports a 5% increase in well-being among religious people; in the consistent crowd condition, six independent researchers report six consistent estimates (2%, 4%, 5%, 5%, 6%, and 8%, respectively) that average to 5% (</w:t>
      </w:r>
      <m:oMath>
        <m:r>
          <m:t>σ</m:t>
        </m:r>
      </m:oMath>
      <w:r>
        <w:t xml:space="preserve"> </w:t>
      </w:r>
      <w:r>
        <w:t xml:space="preserve">= 2%); and in the inconsistent crowd condition, six independent researchers report six inconsistent estimates (-6%, -2%, 5%, 5%, 12%, and 16%, respectively) that average to 5% (</w:t>
      </w:r>
      <m:oMath>
        <m:r>
          <m:t>σ</m:t>
        </m:r>
      </m:oMath>
      <w:r>
        <w:t xml:space="preserve"> </w:t>
      </w:r>
      <w:r>
        <w:t xml:space="preserve">=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 estimate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 estimate vs. the consistent crowd condition, and one comparison of the single estimate vs. the inconsistent crowd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 estimate, consistent crowd, and inconsistent crowd condition, respectively).</w:t>
      </w:r>
      <w:r>
        <w:br/>
      </w:r>
      <w:r>
        <w:t xml:space="preserve">Figure 1 displays the main findings of our linear regression models, which compare each condition to the single estimate condition and control for prior beliefs. For the inconsistent crowd condition, we found significantly lower (a) posterior beliefs,</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significantly higher ratings of (d) bias,</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p</m:t>
        </m:r>
        <m:r>
          <m:rPr>
            <m:sty m:val="p"/>
          </m:rPr>
          <m:t>&lt;</m:t>
        </m:r>
        <m:r>
          <m:t>.001</m:t>
        </m:r>
      </m:oMath>
      <w:r>
        <w:t xml:space="preserve">.</w:t>
      </w:r>
      <w:r>
        <w:br/>
      </w:r>
      <w:r>
        <w:t xml:space="preserve">For the consistent crowd condition, we found significantly lower (a) posterior beliefs,</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p</m:t>
        </m:r>
        <m:r>
          <m:rPr>
            <m:sty m:val="p"/>
          </m:rPr>
          <m:t>&lt;</m:t>
        </m:r>
        <m:r>
          <m:t>.001</m:t>
        </m:r>
      </m:oMath>
      <w:r>
        <w:t xml:space="preserve">; significantly higher ratings of (b) error,</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positive difference between prior and posterior beliefs within the consistent crowd condition: i.e., beliefs in the research hypothesis are greater after consuming consistent crowd estimates,</w:t>
      </w:r>
      <w:r>
        <w:t xml:space="preserve"> </w:t>
      </w:r>
      <m:oMath>
        <m:sSub>
          <m:e>
            <m:r>
              <m:t>M</m:t>
            </m:r>
          </m:e>
          <m:sub>
            <m:r>
              <m:t>d</m:t>
            </m:r>
          </m:sub>
        </m:sSub>
        <m:r>
          <m:rPr>
            <m:sty m:val="p"/>
          </m:rPr>
          <m:t>=</m:t>
        </m:r>
        <m:r>
          <m:t>11.66</m:t>
        </m:r>
      </m:oMath>
      <w:r>
        <w:t xml:space="preserve">, 95% CI</w:t>
      </w:r>
      <w:r>
        <w:t xml:space="preserve"> </w:t>
      </w:r>
      <m:oMath>
        <m:r>
          <m:rPr>
            <m:sty m:val="p"/>
          </m:rPr>
          <m:t>[</m:t>
        </m:r>
        <m:r>
          <m:t>9.66</m:t>
        </m:r>
        <m:r>
          <m:rPr>
            <m:sty m:val="p"/>
          </m:rPr>
          <m:t>,</m:t>
        </m:r>
        <m:r>
          <m:t>13.66</m:t>
        </m:r>
        <m:r>
          <m:rPr>
            <m:sty m:val="p"/>
          </m:rPr>
          <m:t>]</m:t>
        </m:r>
      </m:oMath>
      <w:r>
        <w:t xml:space="preserve">,</w:t>
      </w:r>
      <w:r>
        <w:t xml:space="preserve"> </w:t>
      </w:r>
      <m:oMath>
        <m:r>
          <m:t>p</m:t>
        </m:r>
        <m:r>
          <m:rPr>
            <m:sty m:val="p"/>
          </m:rPr>
          <m:t>&lt;</m:t>
        </m:r>
        <m:r>
          <m:t>.001</m:t>
        </m:r>
      </m:oMath>
      <w:r>
        <w:t xml:space="preserve">. This finding clarifies that a consistent crowd may sway observers — however, compared to a conventional, non-crowdsourced estimate, crowd estimates do not seem to improve lay perceptions of scientific findings.</w:t>
      </w:r>
    </w:p>
    <w:bookmarkEnd w:id="29"/>
    <w:bookmarkStart w:id="33" w:name="discussion"/>
    <w:p>
      <w:pPr>
        <w:pStyle w:val="berschrift1"/>
      </w:pPr>
      <w:r>
        <w:t xml:space="preserve">Discussion</w:t>
      </w:r>
    </w:p>
    <w:p>
      <w:pPr>
        <w:pStyle w:val="FirstParagraph"/>
      </w:pPr>
      <w:r>
        <w:t xml:space="preserve">Every day, important scientific findings are rejected at large. From man-made climate change to the safety and efficacy of Covid-19 vaccinations, science skepticism has run rampant among lay consumers in modern society</w:t>
      </w:r>
      <w:r>
        <w:t xml:space="preserve"> </w:t>
      </w:r>
      <w:r>
        <w:t xml:space="preserve">(Hornsey &amp; Fielding, 2017)</w:t>
      </w:r>
      <w:r>
        <w:t xml:space="preserve">. To increase public faith in science, some have proposed the use of crowd science</w:t>
      </w:r>
      <w:r>
        <w:t xml:space="preserve"> </w:t>
      </w:r>
      <w:r>
        <w:t xml:space="preserve">(Silberzahn et al., 2018; Uhlmann et al., 2019)</w:t>
      </w:r>
      <w:r>
        <w:t xml:space="preserve">. In Table 2, we provide an overview of the proposed confidence- and credibility-related benefits of the multi-analyst approach. The logic behind the crowd science approach accords with that of analytic practices that are considered to be hallmarks of rigorous research: e.g.,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t xml:space="preserve"> </w:t>
      </w:r>
      <w:r>
        <w:t xml:space="preserve">Drawing from theories on social norms and numerical cognition, we similarly expected lay consumers of multi-analyst studies with consistent findings to be more confident in the results.</w:t>
      </w:r>
      <w:r>
        <w:br/>
      </w:r>
      <w:r>
        <w:rPr>
          <w:bCs/>
          <w:b/>
        </w:rPr>
        <w:t xml:space="preserve">[Insert Table 2 here]</w:t>
      </w:r>
      <w:r>
        <w:br/>
      </w: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However, as with any real-world intervention, scientific reform can have unintended consequences. Here, we focus on the effects of crowdsourcing data analysis, and find that the multi-analyst approach may have an unintended consequence. While partly instituted with the goal of improving the credibility of scientific research, lay consumers appear to resist the variability and lack of consensus that often comes with multi-analyst research. To our surprise, even when results generated by independent analysts are highly consistent and lead to the same qualitative conclusion, we find no improvement in lay perceptions of scientific findings. Instead, consumers of consistent, slightly variable, crowd estimates are less likely to believe in the reported phenomenon and more likely to think that the findings stem from error and researcher degrees of freedom. In the future, it is important for crowd scientists to consider how to tackle science skepticism and effectively communicate variable estimates.</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0.7.10.9000;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102" w:name="references"/>
    <w:p>
      <w:pPr>
        <w:pStyle w:val="berschrift1"/>
      </w:pPr>
      <w:r>
        <w:t xml:space="preserve">References</w:t>
      </w:r>
    </w:p>
    <w:bookmarkStart w:id="101"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garfield2004"/>
    <w:p>
      <w:pPr>
        <w:pStyle w:val="Literaturverzeichnis"/>
      </w:pPr>
      <w:r>
        <w:t xml:space="preserve">Garfield, J., &amp; Ben-Zvi, D. (2004). Research on</w:t>
      </w:r>
      <w:r>
        <w:t xml:space="preserve"> </w:t>
      </w:r>
      <w:r>
        <w:t xml:space="preserve">Statistical Literacy</w:t>
      </w:r>
      <w:r>
        <w:t xml:space="preserve">,</w:t>
      </w:r>
      <w:r>
        <w:t xml:space="preserve"> </w:t>
      </w:r>
      <w:r>
        <w:t xml:space="preserve">Reasoning</w:t>
      </w:r>
      <w:r>
        <w:t xml:space="preserve">, and</w:t>
      </w:r>
      <w:r>
        <w:t xml:space="preserve"> </w:t>
      </w:r>
      <w:r>
        <w:t xml:space="preserve">Thinking</w:t>
      </w:r>
      <w:r>
        <w:t xml:space="preserve">: Issues,</w:t>
      </w:r>
      <w:r>
        <w:t xml:space="preserve"> </w:t>
      </w:r>
      <w:r>
        <w:t xml:space="preserve">Challenges</w:t>
      </w:r>
      <w:r>
        <w:t xml:space="preserve">, and</w:t>
      </w:r>
      <w:r>
        <w:t xml:space="preserve"> </w:t>
      </w:r>
      <w:r>
        <w:t xml:space="preserve">Implications</w:t>
      </w:r>
      <w:r>
        <w:t xml:space="preserve">. In D. Ben-Zvi &amp; J. Garfield (Eds.),</w:t>
      </w:r>
      <w: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Developing Statistical Literacy</w:t>
      </w:r>
      <w:r>
        <w:rPr>
          <w:iCs/>
          <w:i/>
        </w:rPr>
        <w:t xml:space="preserve">,</w:t>
      </w:r>
      <w:r>
        <w:rPr>
          <w:iCs/>
          <w:i/>
        </w:rPr>
        <w:t xml:space="preserve"> </w:t>
      </w:r>
      <w:r>
        <w:rPr>
          <w:iCs/>
          <w:i/>
        </w:rPr>
        <w:t xml:space="preserve">Reasoning</w:t>
      </w:r>
      <w:r>
        <w:rPr>
          <w:iCs/>
          <w:i/>
        </w:rPr>
        <w:t xml:space="preserve"> </w:t>
      </w:r>
      <w:r>
        <w:rPr>
          <w:iCs/>
          <w:i/>
        </w:rPr>
        <w:t xml:space="preserve">and</w:t>
      </w:r>
      <w:r>
        <w:rPr>
          <w:iCs/>
          <w:i/>
        </w:rPr>
        <w:t xml:space="preserve"> </w:t>
      </w:r>
      <w:r>
        <w:rPr>
          <w:iCs/>
          <w:i/>
        </w:rPr>
        <w:t xml:space="preserve">Thinking</w:t>
      </w:r>
      <w:r>
        <w:t xml:space="preserve"> </w:t>
      </w:r>
      <w:r>
        <w:t xml:space="preserve">(pp. 397–409).</w:t>
      </w:r>
      <w:r>
        <w:t xml:space="preserve"> </w:t>
      </w:r>
      <w:r>
        <w:t xml:space="preserve">Dordrecht</w:t>
      </w:r>
      <w:r>
        <w:t xml:space="preserve">:</w:t>
      </w:r>
      <w:r>
        <w:t xml:space="preserve"> </w:t>
      </w:r>
      <w:r>
        <w:t xml:space="preserve">Springer Netherlands</w:t>
      </w:r>
      <w:r>
        <w:t xml:space="preserve">.</w:t>
      </w:r>
      <w:r>
        <w:t xml:space="preserve"> </w:t>
      </w:r>
      <w:hyperlink r:id="rId54">
        <w:r>
          <w:rPr>
            <w:rStyle w:val="Hyperlink"/>
          </w:rPr>
          <w:t xml:space="preserve">https://doi.org/10.1007/1-4020-2278-6_17</w:t>
        </w:r>
      </w:hyperlink>
    </w:p>
    <w:bookmarkEnd w:id="55"/>
    <w:bookmarkStart w:id="56" w:name="ref-gigerenzer2015a"/>
    <w:p>
      <w:pPr>
        <w:pStyle w:val="Literaturverzeichnis"/>
      </w:pPr>
      <w:r>
        <w:t xml:space="preserve">Gigerenzer, G., &amp; Murray, D. J. (2015).</w:t>
      </w:r>
      <w:r>
        <w:t xml:space="preserve"> </w:t>
      </w:r>
      <w:r>
        <w:rPr>
          <w:iCs/>
          <w:i/>
        </w:rPr>
        <w:t xml:space="preserve">Cognition as</w:t>
      </w:r>
      <w:r>
        <w:rPr>
          <w:iCs/>
          <w:i/>
        </w:rPr>
        <w:t xml:space="preserve"> </w:t>
      </w:r>
      <w:r>
        <w:rPr>
          <w:iCs/>
          <w:i/>
        </w:rPr>
        <w:t xml:space="preserve">Intuitive Statistics</w:t>
      </w:r>
      <w:r>
        <w:t xml:space="preserve">.</w:t>
      </w:r>
      <w:r>
        <w:t xml:space="preserve"> </w:t>
      </w:r>
      <w:r>
        <w:t xml:space="preserve">Psychology Press</w:t>
      </w:r>
      <w:r>
        <w:t xml:space="preserve">.</w:t>
      </w:r>
    </w:p>
    <w:bookmarkEnd w:id="56"/>
    <w:bookmarkStart w:id="58"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7">
        <w:r>
          <w:rPr>
            <w:rStyle w:val="Hyperlink"/>
          </w:rPr>
          <w:t xml:space="preserve">https://CRAN.R-project.org/package=purrr</w:t>
        </w:r>
      </w:hyperlink>
    </w:p>
    <w:bookmarkEnd w:id="58"/>
    <w:bookmarkStart w:id="60"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9">
        <w:r>
          <w:rPr>
            <w:rStyle w:val="Hyperlink"/>
          </w:rPr>
          <w:t xml:space="preserve">https://CRAN.R-project.org/package=glue</w:t>
        </w:r>
      </w:hyperlink>
    </w:p>
    <w:bookmarkEnd w:id="60"/>
    <w:bookmarkStart w:id="62"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61">
        <w:r>
          <w:rPr>
            <w:rStyle w:val="Hyperlink"/>
          </w:rPr>
          <w:t xml:space="preserve">https://doi.org/10.1037/a0040437</w:t>
        </w:r>
      </w:hyperlink>
    </w:p>
    <w:bookmarkEnd w:id="62"/>
    <w:bookmarkStart w:id="64"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3">
        <w:r>
          <w:rPr>
            <w:rStyle w:val="Hyperlink"/>
          </w:rPr>
          <w:t xml:space="preserve">https://doi.org/10.2307/2392366</w:t>
        </w:r>
      </w:hyperlink>
    </w:p>
    <w:bookmarkEnd w:id="64"/>
    <w:bookmarkStart w:id="66" w:name="ref-miller2016"/>
    <w:p>
      <w:pPr>
        <w:pStyle w:val="Literaturverzeichnis"/>
      </w:pPr>
      <w:r>
        <w:t xml:space="preserve">Miller, D. T., &amp; Prentice, D. A. (2016). Changing</w:t>
      </w:r>
      <w:r>
        <w:t xml:space="preserve"> </w:t>
      </w:r>
      <w:r>
        <w:t xml:space="preserve">Norms</w:t>
      </w:r>
      <w:r>
        <w:t xml:space="preserve"> </w:t>
      </w:r>
      <w:r>
        <w:t xml:space="preserve">to</w:t>
      </w:r>
      <w:r>
        <w:t xml:space="preserve"> </w:t>
      </w:r>
      <w:r>
        <w:t xml:space="preserve">Change Behavior</w:t>
      </w:r>
      <w:r>
        <w:t xml:space="preserve">.</w:t>
      </w:r>
      <w:r>
        <w:t xml:space="preserve"> </w:t>
      </w:r>
      <w:r>
        <w:rPr>
          <w:iCs/>
          <w:i/>
        </w:rPr>
        <w:t xml:space="preserve">Annual Review of Psychology</w:t>
      </w:r>
      <w:r>
        <w:t xml:space="preserve">,</w:t>
      </w:r>
      <w:r>
        <w:t xml:space="preserve"> </w:t>
      </w:r>
      <w:r>
        <w:rPr>
          <w:iCs/>
          <w:i/>
        </w:rPr>
        <w:t xml:space="preserve">67</w:t>
      </w:r>
      <w:r>
        <w:t xml:space="preserve">(1), 339–361.</w:t>
      </w:r>
      <w:r>
        <w:t xml:space="preserve"> </w:t>
      </w:r>
      <w:hyperlink r:id="rId65">
        <w:r>
          <w:rPr>
            <w:rStyle w:val="Hyperlink"/>
          </w:rPr>
          <w:t xml:space="preserve">https://doi.org/10.1146/annurev-psych-010814-015013</w:t>
        </w:r>
      </w:hyperlink>
    </w:p>
    <w:bookmarkEnd w:id="66"/>
    <w:bookmarkStart w:id="68"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7">
        <w:r>
          <w:rPr>
            <w:rStyle w:val="Hyperlink"/>
          </w:rPr>
          <w:t xml:space="preserve">https://doi.org/10.1177/0081175018777988</w:t>
        </w:r>
      </w:hyperlink>
    </w:p>
    <w:bookmarkEnd w:id="68"/>
    <w:bookmarkStart w:id="70"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9">
        <w:r>
          <w:rPr>
            <w:rStyle w:val="Hyperlink"/>
          </w:rPr>
          <w:t xml:space="preserve">https://CRAN.R-project.org/package=here</w:t>
        </w:r>
      </w:hyperlink>
    </w:p>
    <w:bookmarkEnd w:id="70"/>
    <w:bookmarkStart w:id="71" w:name="ref-R-icons"/>
    <w:p>
      <w:pPr>
        <w:pStyle w:val="Literaturverzeichnis"/>
      </w:pPr>
      <w:r>
        <w:t xml:space="preserve">O’Hara-Wild, M. (2021).</w:t>
      </w:r>
      <w:r>
        <w:t xml:space="preserve"> </w:t>
      </w:r>
      <w:r>
        <w:rPr>
          <w:iCs/>
          <w:i/>
        </w:rPr>
        <w:t xml:space="preserve">Icons: SVG icons for r documents and apps</w:t>
      </w:r>
      <w:r>
        <w:t xml:space="preserve">.</w:t>
      </w:r>
    </w:p>
    <w:bookmarkEnd w:id="71"/>
    <w:bookmarkStart w:id="73"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72">
        <w:r>
          <w:rPr>
            <w:rStyle w:val="Hyperlink"/>
          </w:rPr>
          <w:t xml:space="preserve">https://CRAN.R-project.org/package=rsvg</w:t>
        </w:r>
      </w:hyperlink>
    </w:p>
    <w:bookmarkEnd w:id="73"/>
    <w:bookmarkStart w:id="75"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74">
        <w:r>
          <w:rPr>
            <w:rStyle w:val="Hyperlink"/>
          </w:rPr>
          <w:t xml:space="preserve">https://doi.org/10.1177/1745691612465253</w:t>
        </w:r>
      </w:hyperlink>
    </w:p>
    <w:bookmarkEnd w:id="75"/>
    <w:bookmarkStart w:id="77"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6">
        <w:r>
          <w:rPr>
            <w:rStyle w:val="Hyperlink"/>
          </w:rPr>
          <w:t xml:space="preserve">https://www.R-project.org/</w:t>
        </w:r>
      </w:hyperlink>
    </w:p>
    <w:bookmarkEnd w:id="77"/>
    <w:bookmarkStart w:id="78"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8"/>
    <w:bookmarkStart w:id="80" w:name="ref-schweinsberg2021"/>
    <w:p>
      <w:pPr>
        <w:pStyle w:val="Literaturverzeichnis"/>
      </w:pPr>
      <w:r>
        <w:t xml:space="preserve">Schweinsberg, M., Feldman, M., Staub, N., van den Akker, O. R., van Aert, R. C. M., van Assen, M. A. L. M., … et al. (2021). Same data, different conclusions: Radical dispersion in empirical results when independent analysts operationalize and test the same hypothesis.</w:t>
      </w:r>
      <w:r>
        <w:t xml:space="preserve"> </w:t>
      </w:r>
      <w:r>
        <w:rPr>
          <w:iCs/>
          <w:i/>
        </w:rPr>
        <w:t xml:space="preserve">Organizational Behavior and Human Decision Processes</w:t>
      </w:r>
      <w:r>
        <w:t xml:space="preserve">,</w:t>
      </w:r>
      <w:r>
        <w:t xml:space="preserve"> </w:t>
      </w:r>
      <w:r>
        <w:rPr>
          <w:iCs/>
          <w:i/>
        </w:rPr>
        <w:t xml:space="preserve">165</w:t>
      </w:r>
      <w:r>
        <w:t xml:space="preserve">, 228–249.</w:t>
      </w:r>
      <w:r>
        <w:t xml:space="preserve"> </w:t>
      </w:r>
      <w:hyperlink r:id="rId79">
        <w:r>
          <w:rPr>
            <w:rStyle w:val="Hyperlink"/>
          </w:rPr>
          <w:t xml:space="preserve">https://doi.org/10.1016/j.obhdp.2021.02.003</w:t>
        </w:r>
      </w:hyperlink>
    </w:p>
    <w:bookmarkEnd w:id="80"/>
    <w:bookmarkStart w:id="82"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81">
        <w:r>
          <w:rPr>
            <w:rStyle w:val="Hyperlink"/>
          </w:rPr>
          <w:t xml:space="preserve">https://doi.org/10.1038/526189a</w:t>
        </w:r>
      </w:hyperlink>
    </w:p>
    <w:bookmarkEnd w:id="82"/>
    <w:bookmarkStart w:id="84"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83">
        <w:r>
          <w:rPr>
            <w:rStyle w:val="Hyperlink"/>
          </w:rPr>
          <w:t xml:space="preserve">https://doi.org/10.1177/2515245917747646</w:t>
        </w:r>
      </w:hyperlink>
    </w:p>
    <w:bookmarkEnd w:id="84"/>
    <w:bookmarkStart w:id="86"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85">
        <w:r>
          <w:rPr>
            <w:rStyle w:val="Hyperlink"/>
          </w:rPr>
          <w:t xml:space="preserve">https://doi.org/10.1177/1745691616658637</w:t>
        </w:r>
      </w:hyperlink>
    </w:p>
    <w:bookmarkEnd w:id="86"/>
    <w:bookmarkStart w:id="88"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7">
        <w:r>
          <w:rPr>
            <w:rStyle w:val="Hyperlink"/>
          </w:rPr>
          <w:t xml:space="preserve">https://doi.org/10.1177/1094428115610808</w:t>
        </w:r>
      </w:hyperlink>
    </w:p>
    <w:bookmarkEnd w:id="88"/>
    <w:bookmarkStart w:id="90"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9">
        <w:r>
          <w:rPr>
            <w:rStyle w:val="Hyperlink"/>
          </w:rPr>
          <w:t xml:space="preserve">https://doi.org/10.1177/1745691619850561</w:t>
        </w:r>
      </w:hyperlink>
    </w:p>
    <w:bookmarkEnd w:id="90"/>
    <w:bookmarkStart w:id="92"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91">
        <w:r>
          <w:rPr>
            <w:rStyle w:val="Hyperlink"/>
          </w:rPr>
          <w:t xml:space="preserve">https://ggplot2.tidyverse.org</w:t>
        </w:r>
      </w:hyperlink>
    </w:p>
    <w:bookmarkEnd w:id="92"/>
    <w:bookmarkStart w:id="94"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93">
        <w:r>
          <w:rPr>
            <w:rStyle w:val="Hyperlink"/>
          </w:rPr>
          <w:t xml:space="preserve">https://CRAN.R-project.org/package=dplyr</w:t>
        </w:r>
      </w:hyperlink>
    </w:p>
    <w:bookmarkEnd w:id="94"/>
    <w:bookmarkStart w:id="96"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95">
        <w:r>
          <w:rPr>
            <w:rStyle w:val="Hyperlink"/>
          </w:rPr>
          <w:t xml:space="preserve">https://CRAN.R-project.org/package=readr</w:t>
        </w:r>
      </w:hyperlink>
    </w:p>
    <w:bookmarkEnd w:id="96"/>
    <w:bookmarkStart w:id="98"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7">
        <w:r>
          <w:rPr>
            <w:rStyle w:val="Hyperlink"/>
          </w:rPr>
          <w:t xml:space="preserve">https://bookdown.org/yihui/rmarkdown</w:t>
        </w:r>
      </w:hyperlink>
    </w:p>
    <w:bookmarkEnd w:id="98"/>
    <w:bookmarkStart w:id="100"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9">
        <w:r>
          <w:rPr>
            <w:rStyle w:val="Hyperlink"/>
          </w:rPr>
          <w:t xml:space="preserve">https://bookdown.org/yihui/rmarkdown-cookbook</w:t>
        </w:r>
      </w:hyperlink>
    </w:p>
    <w:bookmarkEnd w:id="100"/>
    <w:bookmarkEnd w:id="101"/>
    <w:p>
      <w:r>
        <w:br w:type="page"/>
      </w:r>
    </w:p>
    <w:bookmarkEnd w:id="102"/>
    <w:bookmarkStart w:id="116" w:name="tables"/>
    <w:p>
      <w:pPr>
        <w:pStyle w:val="berschrift1"/>
      </w:pPr>
      <w:r>
        <w:t xml:space="preserve">Tables</w:t>
      </w:r>
    </w:p>
    <w:bookmarkStart w:id="113" w:name="table-1"/>
    <w:p>
      <w:pPr>
        <w:pStyle w:val="berschrift2"/>
      </w:pPr>
      <w:r>
        <w:t xml:space="preserve">Table 1</w:t>
      </w:r>
    </w:p>
    <w:p>
      <w:pPr>
        <w:pStyle w:val="FirstParagraph"/>
      </w:pPr>
      <w:r>
        <w:rPr>
          <w:iCs/>
          <w:i/>
        </w:rPr>
        <w:t xml:space="preserve">Predicted direction of effects compared to the single estimate condition</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Consistent crowd</w:t>
            </w:r>
          </w:p>
        </w:tc>
        <w:tc>
          <w:p>
            <w:pPr>
              <w:pStyle w:val="Compact"/>
              <w:jc w:val="left"/>
            </w:pPr>
            <w:r>
              <w:t xml:space="preserve">Inconsistent crowd</w:t>
            </w:r>
          </w:p>
        </w:tc>
      </w:tr>
      <w:tr>
        <w:tc>
          <w:p>
            <w:pPr>
              <w:pStyle w:val="Compact"/>
              <w:jc w:val="left"/>
            </w:pPr>
            <w:r>
              <w:t xml:space="preserve">1. Posterior beliefs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qZiOIK/file5e77394829b.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qZiOIK/file5e77b0a8ff3.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 of the results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qZiOIK/file5e776270a02e.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qZiOIK/file5e7750245e7f.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 in precise estimate</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qZiOIK/file5e773b80cf4.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qZiOIK/file5e77285a6914.png" id="0" name="Picture"/>
                          <pic:cNvPicPr>
                            <a:picLocks noChangeArrowheads="1" noChangeAspect="1"/>
                          </pic:cNvPicPr>
                        </pic:nvPicPr>
                        <pic:blipFill>
                          <a:blip r:embed="rId108"/>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Researcher bias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qZiOIK/file5e7747a8b4be.png" id="0" name="Picture"/>
                          <pic:cNvPicPr>
                            <a:picLocks noChangeArrowheads="1" noChangeAspect="1"/>
                          </pic:cNvPicPr>
                        </pic:nvPicPr>
                        <pic:blipFill>
                          <a:blip r:embed="rId109"/>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qZiOIK/file5e7714f24ab3.png" id="0" name="Picture"/>
                          <pic:cNvPicPr>
                            <a:picLocks noChangeArrowheads="1" noChangeAspect="1"/>
                          </pic:cNvPicPr>
                        </pic:nvPicPr>
                        <pic:blipFill>
                          <a:blip r:embed="rId110"/>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Researcher error</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qZiOIK/file5e772f063883.png" id="0" name="Picture"/>
                          <pic:cNvPicPr>
                            <a:picLocks noChangeArrowheads="1" noChangeAspect="1"/>
                          </pic:cNvPicPr>
                        </pic:nvPicPr>
                        <pic:blipFill>
                          <a:blip r:embed="rId111"/>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qZiOIK/file5e7741683893.png" id="0" name="Picture"/>
                          <pic:cNvPicPr>
                            <a:picLocks noChangeArrowheads="1" noChangeAspect="1"/>
                          </pic:cNvPicPr>
                        </pic:nvPicPr>
                        <pic:blipFill>
                          <a:blip r:embed="rId112"/>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Researcher discretion</w:t>
            </w:r>
          </w:p>
        </w:tc>
        <w:tc>
          <w:p>
            <w:pPr>
              <w:pStyle w:val="Compact"/>
              <w:jc w:val="left"/>
            </w:pPr>
            <m:oMath>
              <m:r>
                <m:t> </m:t>
              </m:r>
              <m:r>
                <m:t> </m:t>
              </m:r>
              <m:r>
                <m:t> </m:t>
              </m:r>
            </m:oMath>
            <w:r>
              <w:t xml:space="preserve"> </w:t>
            </w:r>
            <w:r>
              <w:t xml:space="preserve">No prediction</w:t>
            </w:r>
          </w:p>
        </w:tc>
        <w:tc>
          <w:p>
            <w:pPr>
              <w:pStyle w:val="Compact"/>
              <w:jc w:val="left"/>
            </w:pPr>
            <m:oMath>
              <m:r>
                <m:t> </m:t>
              </m:r>
              <m:r>
                <m:t> </m:t>
              </m:r>
              <m:r>
                <m:t> </m:t>
              </m:r>
            </m:oMath>
            <w:r>
              <w:t xml:space="preserve"> </w:t>
            </w:r>
            <w:r>
              <w:t xml:space="preserve">No prediction</w:t>
            </w:r>
          </w:p>
        </w:tc>
      </w:tr>
    </w:tbl>
    <w:p>
      <w:pPr>
        <w:pStyle w:val="Textkrper"/>
      </w:pPr>
      <w:r>
        <w:rPr>
          <w:iCs/>
          <w:i/>
        </w:rPr>
        <w:t xml:space="preserve">Note</w:t>
      </w:r>
      <w:r>
        <w:t xml:space="preserve">. Table 1 indicates the predicted direction of the effect for all dependent variables, compared to the single estimate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consistent crowd condition and lower in the inconsistent crowd condition.</w:t>
      </w:r>
    </w:p>
    <w:p>
      <w:r>
        <w:br w:type="page"/>
      </w:r>
    </w:p>
    <w:bookmarkEnd w:id="113"/>
    <w:bookmarkStart w:id="114" w:name="table-2"/>
    <w:p>
      <w:pPr>
        <w:pStyle w:val="berschrift2"/>
      </w:pPr>
      <w:r>
        <w:t xml:space="preserve">Table 2</w:t>
      </w:r>
    </w:p>
    <w:bookmarkEnd w:id="114"/>
    <w:bookmarkStart w:id="115"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115"/>
    <w:bookmarkEnd w:id="116"/>
    <w:bookmarkStart w:id="121" w:name="figures"/>
    <w:p>
      <w:pPr>
        <w:pStyle w:val="berschrift1"/>
      </w:pPr>
      <w:r>
        <w:t xml:space="preserve">Figures</w:t>
      </w:r>
    </w:p>
    <w:bookmarkStart w:id="118" w:name="figure-1"/>
    <w:p>
      <w:pPr>
        <w:pStyle w:val="berschrift2"/>
      </w:pPr>
      <w:r>
        <w:t xml:space="preserve">Figure 1</w:t>
      </w:r>
    </w:p>
    <w:p>
      <w:pPr>
        <w:pStyle w:val="FirstParagraph"/>
      </w:pPr>
      <w:r>
        <w:rPr>
          <w:iCs/>
          <w:i/>
        </w:rPr>
        <w:t xml:space="preserve">Estimates of differences with the single estimate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1c.jpg" id="0" name="Picture"/>
                    <pic:cNvPicPr>
                      <a:picLocks noChangeArrowheads="1" noChangeAspect="1"/>
                    </pic:cNvPicPr>
                  </pic:nvPicPr>
                  <pic:blipFill>
                    <a:blip r:embed="rId11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118"/>
    <w:bookmarkStart w:id="120" w:name="figure-2"/>
    <w:p>
      <w:pPr>
        <w:pStyle w:val="berschrift2"/>
      </w:pPr>
      <w:r>
        <w:t xml:space="preserve">Figure 2</w:t>
      </w:r>
    </w:p>
    <w:p>
      <w:pPr>
        <w:pStyle w:val="FirstParagraph"/>
      </w:pPr>
      <w:r>
        <w:rPr>
          <w:iCs/>
          <w:i/>
        </w:rPr>
        <w:t xml:space="preserve">Individual data points, quartiles, and distributions of prior and posterior beliefs in the single estimate, consistent crowd, and inconsistent crowd conditions</w:t>
      </w:r>
      <w:r>
        <w:br/>
      </w:r>
      <w:r>
        <w:t xml:space="preserve"> </w:t>
      </w:r>
      <w:r>
        <w:drawing>
          <wp:inline>
            <wp:extent cx="5969000" cy="4263571"/>
            <wp:effectExtent b="0" l="0" r="0" t="0"/>
            <wp:docPr descr="" title="" id="1" name="Picture"/>
            <a:graphic>
              <a:graphicData uri="http://schemas.openxmlformats.org/drawingml/2006/picture">
                <pic:pic>
                  <pic:nvPicPr>
                    <pic:cNvPr descr="/Users/shilaan/Library/Mobile%20Documents/com~apple~CloudDocs/R/Many-Analysts/poster/Figure2b.jpg" id="0" name="Picture"/>
                    <pic:cNvPicPr>
                      <a:picLocks noChangeArrowheads="1" noChangeAspect="1"/>
                    </pic:cNvPicPr>
                  </pic:nvPicPr>
                  <pic:blipFill>
                    <a:blip r:embed="rId11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20"/>
    <w:bookmarkEnd w:id="12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SWAY OF CROWD SCIENCE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SWAY OF CROWD SCIENCE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17" Target="media/rId117.jpg" /><Relationship Type="http://schemas.openxmlformats.org/officeDocument/2006/relationships/image" Id="rId119" Target="media/rId119.jpg" /><Relationship Type="http://schemas.openxmlformats.org/officeDocument/2006/relationships/image" Id="rId110" Target="media/rId110.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image" Id="rId105" Target="media/rId105.png" /><Relationship Type="http://schemas.openxmlformats.org/officeDocument/2006/relationships/image" Id="rId104" Target="media/rId104.png" /><Relationship Type="http://schemas.openxmlformats.org/officeDocument/2006/relationships/hyperlink" Id="rId93"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9"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2"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5" Target="https://doi.org/10.1146/annurev-psych-010814-015013" TargetMode="External" /><Relationship Type="http://schemas.openxmlformats.org/officeDocument/2006/relationships/hyperlink" Id="rId67"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4"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3"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93" Target="https://CRAN.R-project.org/package=dplyr" TargetMode="External" /><Relationship Type="http://schemas.openxmlformats.org/officeDocument/2006/relationships/hyperlink" Id="rId59" Target="https://CRAN.R-project.org/package=glue" TargetMode="External" /><Relationship Type="http://schemas.openxmlformats.org/officeDocument/2006/relationships/hyperlink" Id="rId69" Target="https://CRAN.R-project.org/package=here" TargetMode="External" /><Relationship Type="http://schemas.openxmlformats.org/officeDocument/2006/relationships/hyperlink" Id="rId57"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72" Target="https://CRAN.R-project.org/package=rsvg" TargetMode="External" /><Relationship Type="http://schemas.openxmlformats.org/officeDocument/2006/relationships/hyperlink" Id="rId97" Target="https://bookdown.org/yihui/rmarkdown" TargetMode="External" /><Relationship Type="http://schemas.openxmlformats.org/officeDocument/2006/relationships/hyperlink" Id="rId99" Target="https://bookdown.org/yihui/rmarkdown-cookbook" TargetMode="External" /><Relationship Type="http://schemas.openxmlformats.org/officeDocument/2006/relationships/hyperlink" Id="rId54" Target="https://doi.org/10.1007/1-4020-2278-6_17" TargetMode="External" /><Relationship Type="http://schemas.openxmlformats.org/officeDocument/2006/relationships/hyperlink" Id="rId79" Target="https://doi.org/10.1016/j.obhdp.2021.02.003"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61" Target="https://doi.org/10.1037/a0040437" TargetMode="External" /><Relationship Type="http://schemas.openxmlformats.org/officeDocument/2006/relationships/hyperlink" Id="rId8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5" Target="https://doi.org/10.1146/annurev-psych-010814-015013" TargetMode="External" /><Relationship Type="http://schemas.openxmlformats.org/officeDocument/2006/relationships/hyperlink" Id="rId67" Target="https://doi.org/10.1177/0081175018777988" TargetMode="External" /><Relationship Type="http://schemas.openxmlformats.org/officeDocument/2006/relationships/hyperlink" Id="rId87" Target="https://doi.org/10.1177/1094428115610808" TargetMode="External" /><Relationship Type="http://schemas.openxmlformats.org/officeDocument/2006/relationships/hyperlink" Id="rId74" Target="https://doi.org/10.1177/1745691612465253" TargetMode="External" /><Relationship Type="http://schemas.openxmlformats.org/officeDocument/2006/relationships/hyperlink" Id="rId85" Target="https://doi.org/10.1177/1745691616658637" TargetMode="External" /><Relationship Type="http://schemas.openxmlformats.org/officeDocument/2006/relationships/hyperlink" Id="rId8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8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3"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9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6"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
  <cp:keywords/>
  <dcterms:created xsi:type="dcterms:W3CDTF">2021-11-02T10:55:48Z</dcterms:created>
  <dcterms:modified xsi:type="dcterms:W3CDTF">2021-11-02T10:55:48Z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2,222</vt:lpwstr>
  </property>
</Properties>
</file>