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7.jpg" ContentType="image/jpeg"/>
  <Override PartName="/word/media/rId119.jpg" ContentType="image/jpeg"/>
  <Override PartName="/word/media/rId106.png" ContentType="image/png"/>
  <Override PartName="/word/media/rId103.png" ContentType="image/png"/>
  <Override PartName="/word/media/rId111.png" ContentType="image/png"/>
  <Override PartName="/word/media/rId110.png" ContentType="image/png"/>
  <Override PartName="/word/media/rId109.png" ContentType="image/png"/>
  <Override PartName="/word/media/rId107.png" ContentType="image/png"/>
  <Override PartName="/word/media/rId108.png" ContentType="image/png"/>
  <Override PartName="/word/media/rId104.png" ContentType="image/png"/>
  <Override PartName="/word/media/rId105.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confidence in an aggregate effect size estimate, and ratings of credibility,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d>
          <m:dPr>
            <m:begChr m:val="["/>
            <m:endChr m:val="]"/>
            <m:sepChr m:val=""/>
            <m:grow/>
          </m:dPr>
          <m:e>
            <m:r>
              <m:rPr>
                <m:sty m:val="p"/>
              </m:rPr>
              <m:t>−</m:t>
            </m:r>
            <m:r>
              <m:t>25.59</m:t>
            </m:r>
            <m:r>
              <m:rPr>
                <m:sty m:val="p"/>
              </m:rPr>
              <m:t>,</m:t>
            </m:r>
            <m:r>
              <m:rPr>
                <m:sty m:val="p"/>
              </m:rPr>
              <m:t>−</m:t>
            </m:r>
            <m:r>
              <m:t>20.00</m:t>
            </m:r>
          </m:e>
        </m:d>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d>
          <m:dPr>
            <m:begChr m:val="["/>
            <m:endChr m:val="]"/>
            <m:sepChr m:val=""/>
            <m:grow/>
          </m:dPr>
          <m:e>
            <m:r>
              <m:rPr>
                <m:sty m:val="p"/>
              </m:rPr>
              <m:t>−</m:t>
            </m:r>
            <m:r>
              <m:t>9.31</m:t>
            </m:r>
            <m:r>
              <m:rPr>
                <m:sty m:val="p"/>
              </m:rPr>
              <m:t>,</m:t>
            </m:r>
            <m:r>
              <m:rPr>
                <m:sty m:val="p"/>
              </m:rPr>
              <m:t>−</m:t>
            </m:r>
            <m:r>
              <m:t>3.76</m:t>
            </m:r>
          </m:e>
        </m:d>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d>
          <m:dPr>
            <m:begChr m:val="["/>
            <m:endChr m:val="]"/>
            <m:sepChr m:val=""/>
            <m:grow/>
          </m:dPr>
          <m:e>
            <m:r>
              <m:rPr>
                <m:sty m:val="p"/>
              </m:rPr>
              <m:t>−</m:t>
            </m:r>
            <m:r>
              <m:t>12.11</m:t>
            </m:r>
            <m:r>
              <m:rPr>
                <m:sty m:val="p"/>
              </m:rPr>
              <m:t>,</m:t>
            </m:r>
            <m:r>
              <m:rPr>
                <m:sty m:val="p"/>
              </m:rPr>
              <m:t>−</m:t>
            </m:r>
            <m:r>
              <m:t>6.07</m:t>
            </m:r>
          </m:e>
        </m:d>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d>
          <m:dPr>
            <m:begChr m:val="["/>
            <m:endChr m:val="]"/>
            <m:sepChr m:val=""/>
            <m:grow/>
          </m:dPr>
          <m:e>
            <m:r>
              <m:t>3.48</m:t>
            </m:r>
            <m:r>
              <m:rPr>
                <m:sty m:val="p"/>
              </m:rPr>
              <m:t>,</m:t>
            </m:r>
            <m:r>
              <m:t>9.89</m:t>
            </m:r>
          </m:e>
        </m:d>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d>
          <m:dPr>
            <m:begChr m:val="["/>
            <m:endChr m:val="]"/>
            <m:sepChr m:val=""/>
            <m:grow/>
          </m:dPr>
          <m:e>
            <m:r>
              <m:t>2.98</m:t>
            </m:r>
            <m:r>
              <m:rPr>
                <m:sty m:val="p"/>
              </m:rPr>
              <m:t>,</m:t>
            </m:r>
            <m:r>
              <m:t>8.80</m:t>
            </m:r>
          </m:e>
        </m:d>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d>
          <m:dPr>
            <m:begChr m:val="["/>
            <m:endChr m:val="]"/>
            <m:sepChr m:val=""/>
            <m:grow/>
          </m:dPr>
          <m:e>
            <m:r>
              <m:t>6.46</m:t>
            </m:r>
            <m:r>
              <m:rPr>
                <m:sty m:val="p"/>
              </m:rPr>
              <m:t>,</m:t>
            </m:r>
            <m:r>
              <m:t>11.98</m:t>
            </m:r>
          </m:e>
        </m:d>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d>
          <m:dPr>
            <m:begChr m:val="["/>
            <m:endChr m:val="]"/>
            <m:sepChr m:val=""/>
            <m:grow/>
          </m:dPr>
          <m:e>
            <m:r>
              <m:rPr>
                <m:sty m:val="p"/>
              </m:rPr>
              <m:t>−</m:t>
            </m:r>
            <m:r>
              <m:t>8.51</m:t>
            </m:r>
            <m:r>
              <m:rPr>
                <m:sty m:val="p"/>
              </m:rPr>
              <m:t>,</m:t>
            </m:r>
            <m:r>
              <m:rPr>
                <m:sty m:val="p"/>
              </m:rPr>
              <m:t>−</m:t>
            </m:r>
            <m:r>
              <m:t>2.91</m:t>
            </m:r>
          </m:e>
        </m:d>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d>
          <m:dPr>
            <m:begChr m:val="["/>
            <m:endChr m:val="]"/>
            <m:sepChr m:val=""/>
            <m:grow/>
          </m:dPr>
          <m:e>
            <m:r>
              <m:t>0.68</m:t>
            </m:r>
            <m:r>
              <m:rPr>
                <m:sty m:val="p"/>
              </m:rPr>
              <m:t>,</m:t>
            </m:r>
            <m:r>
              <m:t>6.51</m:t>
            </m:r>
          </m:e>
        </m:d>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d>
          <m:dPr>
            <m:begChr m:val="["/>
            <m:endChr m:val="]"/>
            <m:sepChr m:val=""/>
            <m:grow/>
          </m:dPr>
          <m:e>
            <m:r>
              <m:t>2.37</m:t>
            </m:r>
            <m:r>
              <m:rPr>
                <m:sty m:val="p"/>
              </m:rPr>
              <m:t>,</m:t>
            </m:r>
            <m:r>
              <m:t>7.91</m:t>
            </m:r>
          </m:e>
        </m:d>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d>
          <m:dPr>
            <m:begChr m:val="["/>
            <m:endChr m:val="]"/>
            <m:sepChr m:val=""/>
            <m:grow/>
          </m:dPr>
          <m:e>
            <m:r>
              <m:rPr>
                <m:sty m:val="p"/>
              </m:rPr>
              <m:t>−</m:t>
            </m:r>
            <m:r>
              <m:t>1.53</m:t>
            </m:r>
            <m:r>
              <m:rPr>
                <m:sty m:val="p"/>
              </m:rPr>
              <m:t>,</m:t>
            </m:r>
            <m:r>
              <m:t>4.02</m:t>
            </m:r>
          </m:e>
        </m:d>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d>
          <m:dPr>
            <m:begChr m:val="["/>
            <m:endChr m:val="]"/>
            <m:sepChr m:val=""/>
            <m:grow/>
          </m:dPr>
          <m:e>
            <m:r>
              <m:rPr>
                <m:sty m:val="p"/>
              </m:rPr>
              <m:t>−</m:t>
            </m:r>
            <m:r>
              <m:t>2.53</m:t>
            </m:r>
            <m:r>
              <m:rPr>
                <m:sty m:val="p"/>
              </m:rPr>
              <m:t>,</m:t>
            </m:r>
            <m:r>
              <m:t>3.52</m:t>
            </m:r>
          </m:e>
        </m:d>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d>
          <m:dPr>
            <m:begChr m:val="["/>
            <m:endChr m:val="]"/>
            <m:sepChr m:val=""/>
            <m:grow/>
          </m:dPr>
          <m:e>
            <m:r>
              <m:rPr>
                <m:sty m:val="p"/>
              </m:rPr>
              <m:t>−</m:t>
            </m:r>
            <m:r>
              <m:t>1.08</m:t>
            </m:r>
            <m:r>
              <m:rPr>
                <m:sty m:val="p"/>
              </m:rPr>
              <m:t>,</m:t>
            </m:r>
            <m:r>
              <m:t>5.35</m:t>
            </m:r>
          </m:e>
        </m:d>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4.75</m:t>
        </m:r>
      </m:oMath>
      <w:r>
        <w:t xml:space="preserve">, 95% CI</w:t>
      </w:r>
      <w:r>
        <w:t xml:space="preserve"> </w:t>
      </w:r>
      <m:oMath>
        <m:d>
          <m:dPr>
            <m:begChr m:val="["/>
            <m:endChr m:val="]"/>
            <m:sepChr m:val=""/>
            <m:grow/>
          </m:dPr>
          <m:e>
            <m:r>
              <m:t>2.55</m:t>
            </m:r>
            <m:r>
              <m:rPr>
                <m:sty m:val="p"/>
              </m:rPr>
              <m:t>,</m:t>
            </m:r>
            <m:r>
              <m:t>6.95</m:t>
            </m:r>
          </m:e>
        </m:d>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r>
        <w:br w:type="page"/>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1.5.0;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2.0.2;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3">
        <w:r>
          <w:rPr>
            <w:rStyle w:val="Hyperlink"/>
          </w:rPr>
          <w:t xml:space="preserve">https://doi.org/10.2307/2392366</w:t>
        </w:r>
      </w:hyperlink>
    </w:p>
    <w:bookmarkEnd w:id="64"/>
    <w:bookmarkStart w:id="66"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5">
        <w:r>
          <w:rPr>
            <w:rStyle w:val="Hyperlink"/>
          </w:rPr>
          <w:t xml:space="preserve">https://doi.org/10.1146/annurev-psych-010814-015013</w:t>
        </w:r>
      </w:hyperlink>
    </w:p>
    <w:bookmarkEnd w:id="66"/>
    <w:bookmarkStart w:id="68"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7">
        <w:r>
          <w:rPr>
            <w:rStyle w:val="Hyperlink"/>
          </w:rPr>
          <w:t xml:space="preserve">https://CRAN.R-project.org/package=here</w:t>
        </w:r>
      </w:hyperlink>
    </w:p>
    <w:bookmarkEnd w:id="68"/>
    <w:bookmarkStart w:id="70"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9">
        <w:r>
          <w:rPr>
            <w:rStyle w:val="Hyperlink"/>
          </w:rPr>
          <w:t xml:space="preserve">https://doi.org/10.1177/0081175018777988</w:t>
        </w:r>
      </w:hyperlink>
    </w:p>
    <w:bookmarkEnd w:id="70"/>
    <w:bookmarkStart w:id="71" w:name="ref-R-icons"/>
    <w:p>
      <w:pPr>
        <w:pStyle w:val="Literaturverzeichnis"/>
      </w:pPr>
      <w:r>
        <w:t xml:space="preserve">O’Hara-Wild, M. (2021).</w:t>
      </w:r>
      <w:r>
        <w:t xml:space="preserve"> </w:t>
      </w:r>
      <w:r>
        <w:rPr>
          <w:iCs/>
          <w:i/>
        </w:rPr>
        <w:t xml:space="preserve">Icons: SVG icons for r documents and apps</w:t>
      </w:r>
      <w:r>
        <w:t xml:space="preserve">.</w:t>
      </w:r>
    </w:p>
    <w:bookmarkEnd w:id="71"/>
    <w:bookmarkStart w:id="73"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2">
        <w:r>
          <w:rPr>
            <w:rStyle w:val="Hyperlink"/>
          </w:rPr>
          <w:t xml:space="preserve">https://CRAN.R-project.org/package=rsvg</w:t>
        </w:r>
      </w:hyperlink>
    </w:p>
    <w:bookmarkEnd w:id="73"/>
    <w:bookmarkStart w:id="7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4">
        <w:r>
          <w:rPr>
            <w:rStyle w:val="Hyperlink"/>
          </w:rPr>
          <w:t xml:space="preserve">https://doi.org/10.1177/1745691612465253</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Measure</w:t>
            </w:r>
          </w:p>
        </w:tc>
        <w:tc>
          <w:tcPr/>
          <w:p>
            <w:pPr>
              <w:pStyle w:val="Compact"/>
              <w:jc w:val="left"/>
            </w:pPr>
            <w:r>
              <w:t xml:space="preserve">Consistent crowd</w:t>
            </w:r>
          </w:p>
        </w:tc>
        <w:tc>
          <w:tcPr/>
          <w:p>
            <w:pPr>
              <w:pStyle w:val="Compact"/>
              <w:jc w:val="left"/>
            </w:pPr>
            <w:r>
              <w:t xml:space="preserve">Inconsistent crowd</w:t>
            </w:r>
          </w:p>
        </w:tc>
      </w:tr>
      <w:tr>
        <w:tc>
          <w:tcPr/>
          <w:p>
            <w:pPr>
              <w:pStyle w:val="Compact"/>
              <w:jc w:val="left"/>
            </w:pPr>
            <w:r>
              <w:t xml:space="preserve">1. Posterior beliefs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348a6f14.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6c82a4fe.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2. Credibility of the results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751e5759.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1af8d021.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3. Confidence in precise estimate</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4528345c.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5285a77c.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4. Researcher bias</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44b6e837.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4447961f.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5. Researcher error</w:t>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37d0f03e.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tcPr/>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kBZcZP/filebda8764c9312.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tcPr/>
          <w:p>
            <w:pPr>
              <w:pStyle w:val="Compact"/>
              <w:jc w:val="left"/>
            </w:pPr>
            <w:r>
              <w:t xml:space="preserve">6. Researcher discretion</w:t>
            </w:r>
          </w:p>
        </w:tc>
        <w:tc>
          <w:tcPr/>
          <w:p>
            <w:pPr>
              <w:pStyle w:val="Compact"/>
              <w:jc w:val="left"/>
            </w:pPr>
            <m:oMath>
              <m:r>
                <m:t> </m:t>
              </m:r>
              <m:r>
                <m:t> </m:t>
              </m:r>
              <m:r>
                <m:t> </m:t>
              </m:r>
            </m:oMath>
            <w:r>
              <w:t xml:space="preserve"> </w:t>
            </w:r>
            <w:r>
              <w:t xml:space="preserve">No prediction</w:t>
            </w:r>
          </w:p>
        </w:tc>
        <w:tc>
          <w:tcPr/>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Citation</w:t>
            </w:r>
          </w:p>
        </w:tc>
        <w:tc>
          <w:tcPr/>
          <w:p>
            <w:pPr>
              <w:pStyle w:val="Compact"/>
              <w:jc w:val="left"/>
            </w:pPr>
            <w:r>
              <w:t xml:space="preserve">Description of credibility- or confidence-related benefits</w:t>
            </w:r>
          </w:p>
        </w:tc>
      </w:tr>
      <w:tr>
        <w:tc>
          <w:tcPr/>
          <w:p>
            <w:pPr>
              <w:pStyle w:val="Compact"/>
              <w:jc w:val="left"/>
            </w:pPr>
            <w:r>
              <w:t xml:space="preserve">(Aczel et al., 2021, pp. 3–4)</w:t>
            </w:r>
          </w:p>
        </w:tc>
        <w:tc>
          <w:tcPr/>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tcPr/>
          <w:p>
            <w:pPr>
              <w:pStyle w:val="Compact"/>
              <w:jc w:val="left"/>
            </w:pPr>
            <w:r>
              <w:t xml:space="preserve">(Arbon et al., 2019)</w:t>
            </w:r>
          </w:p>
        </w:tc>
        <w:tc>
          <w:tcPr/>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tcPr/>
          <w:p>
            <w:pPr>
              <w:pStyle w:val="Compact"/>
              <w:jc w:val="left"/>
            </w:pPr>
            <w:r>
              <w:t xml:space="preserve">(Auspurg &amp; Brüderl, 2021, pp. 1, 10)</w:t>
            </w:r>
          </w:p>
        </w:tc>
        <w:tc>
          <w:tcPr/>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tcPr/>
          <w:p>
            <w:pPr>
              <w:pStyle w:val="Compact"/>
              <w:jc w:val="left"/>
            </w:pPr>
            <w:r>
              <w:t xml:space="preserve">(Breznau et al., 2021, p. 3)</w:t>
            </w:r>
          </w:p>
        </w:tc>
        <w:tc>
          <w:tcPr/>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tcPr/>
          <w:p>
            <w:pPr>
              <w:pStyle w:val="Compact"/>
              <w:jc w:val="left"/>
            </w:pPr>
            <w:r>
              <w:t xml:space="preserve">(Breznau, 2021, p. 311)</w:t>
            </w:r>
          </w:p>
        </w:tc>
        <w:tc>
          <w:tcPr/>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tcPr/>
          <w:p>
            <w:pPr>
              <w:pStyle w:val="Compact"/>
              <w:jc w:val="left"/>
            </w:pPr>
            <w:r>
              <w:t xml:space="preserve">(Silberzahn &amp; Uhlmann, 2015, pp. 190–191)</w:t>
            </w:r>
          </w:p>
        </w:tc>
        <w:tc>
          <w:tcPr/>
          <w:p>
            <w:pPr>
              <w:pStyle w:val="Compact"/>
              <w:jc w:val="left"/>
            </w:pPr>
            <w:r>
              <w:t xml:space="preserve">“</w:t>
            </w:r>
            <w:r>
              <w:t xml:space="preserve">the results are more credible (…) greater certainty comes from having an independent check.</w:t>
            </w:r>
            <w:r>
              <w:t xml:space="preserve">”</w:t>
            </w:r>
          </w:p>
        </w:tc>
      </w:tr>
      <w:tr>
        <w:tc>
          <w:tcPr/>
          <w:p>
            <w:pPr>
              <w:pStyle w:val="Compact"/>
              <w:jc w:val="left"/>
            </w:pPr>
            <w:r>
              <w:t xml:space="preserve">(Silberzahn et al., 2018, p. 352)</w:t>
            </w:r>
          </w:p>
        </w:tc>
        <w:tc>
          <w:tcPr/>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tcPr/>
          <w:p>
            <w:pPr>
              <w:pStyle w:val="Compact"/>
              <w:jc w:val="left"/>
            </w:pPr>
            <w:r>
              <w:t xml:space="preserve">(Uhlmann et al., 2019, p. 713)</w:t>
            </w:r>
          </w:p>
        </w:tc>
        <w:tc>
          <w:tcPr/>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We regressed all outcomes on prior beliefs and condition (with the single estimate condition as the reference category). Figure 1 displays coefficient estimates (and 95% confidence intervals) of posterior beliefs, credibility, confidence, bias, error, and discretion in the two crowd conditions – the consistent crowd and the inconsistent crowd –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image" Id="rId106" Target="media/rId106.png" /><Relationship Type="http://schemas.openxmlformats.org/officeDocument/2006/relationships/image" Id="rId103" Target="media/rId103.png" /><Relationship Type="http://schemas.openxmlformats.org/officeDocument/2006/relationships/image" Id="rId111" Target="media/rId111.png" /><Relationship Type="http://schemas.openxmlformats.org/officeDocument/2006/relationships/image" Id="rId110" Target="media/rId110.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12" Target="media/rId112.png" /><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7"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9"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2021-11-10T20:04:51Z</dcterms:created>
  <dcterms:modified xsi:type="dcterms:W3CDTF">2021-11-10T20:04:51Z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