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77.jpg" ContentType="image/jpeg"/>
  <Override PartName="/word/media/rId7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1,891</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t xml:space="preserve">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75" w:name="references"/>
    <w:p>
      <w:pPr>
        <w:pStyle w:val="berschrift1"/>
      </w:pPr>
      <w:r>
        <w:t xml:space="preserve">References</w:t>
      </w:r>
    </w:p>
    <w:bookmarkStart w:id="74" w:name="refs"/>
    <w:bookmarkStart w:id="34"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3">
        <w:r>
          <w:rPr>
            <w:rStyle w:val="Hyperlink"/>
          </w:rPr>
          <w:t xml:space="preserve">https://doi.org/10.1038/s41562-019-0807-z</w:t>
        </w:r>
      </w:hyperlink>
    </w:p>
    <w:bookmarkEnd w:id="34"/>
    <w:bookmarkStart w:id="36"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5">
        <w:r>
          <w:rPr>
            <w:rStyle w:val="Hyperlink"/>
          </w:rPr>
          <w:t xml:space="preserve">https://github.com/jorvlan/raincloudplots</w:t>
        </w:r>
      </w:hyperlink>
    </w:p>
    <w:bookmarkEnd w:id="36"/>
    <w:bookmarkStart w:id="38"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7">
        <w:r>
          <w:rPr>
            <w:rStyle w:val="Hyperlink"/>
          </w:rPr>
          <w:t xml:space="preserve">https://github.com/crsh/papaja</w:t>
        </w:r>
      </w:hyperlink>
    </w:p>
    <w:bookmarkEnd w:id="38"/>
    <w:bookmarkStart w:id="40"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https://github.com/mariusbarth/tinylabels</w:t>
        </w:r>
      </w:hyperlink>
    </w:p>
    <w:bookmarkEnd w:id="40"/>
    <w:bookmarkStart w:id="42"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1">
        <w:r>
          <w:rPr>
            <w:rStyle w:val="Hyperlink"/>
          </w:rPr>
          <w:t xml:space="preserve">https://CRAN.R-project.org/package=purrr</w:t>
        </w:r>
      </w:hyperlink>
    </w:p>
    <w:bookmarkEnd w:id="42"/>
    <w:bookmarkStart w:id="44"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3">
        <w:r>
          <w:rPr>
            <w:rStyle w:val="Hyperlink"/>
          </w:rPr>
          <w:t xml:space="preserve">https://CRAN.R-project.org/package=glue</w:t>
        </w:r>
      </w:hyperlink>
    </w:p>
    <w:bookmarkEnd w:id="44"/>
    <w:bookmarkStart w:id="46"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5">
        <w:r>
          <w:rPr>
            <w:rStyle w:val="Hyperlink"/>
          </w:rPr>
          <w:t xml:space="preserve">https://doi.org/10.1037/a0040437</w:t>
        </w:r>
      </w:hyperlink>
    </w:p>
    <w:bookmarkEnd w:id="46"/>
    <w:bookmarkStart w:id="48"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47">
        <w:r>
          <w:rPr>
            <w:rStyle w:val="Hyperlink"/>
          </w:rPr>
          <w:t xml:space="preserve">https://doi.org/10.2307/2392366</w:t>
        </w:r>
      </w:hyperlink>
    </w:p>
    <w:bookmarkEnd w:id="48"/>
    <w:bookmarkStart w:id="50"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49">
        <w:r>
          <w:rPr>
            <w:rStyle w:val="Hyperlink"/>
          </w:rPr>
          <w:t xml:space="preserve">https://doi.org/10.1177/0081175018777988</w:t>
        </w:r>
      </w:hyperlink>
    </w:p>
    <w:bookmarkEnd w:id="50"/>
    <w:bookmarkStart w:id="52"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51">
        <w:r>
          <w:rPr>
            <w:rStyle w:val="Hyperlink"/>
          </w:rPr>
          <w:t xml:space="preserve">https://CRAN.R-project.org/package=here</w:t>
        </w:r>
      </w:hyperlink>
    </w:p>
    <w:bookmarkEnd w:id="52"/>
    <w:bookmarkStart w:id="54"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53">
        <w:r>
          <w:rPr>
            <w:rStyle w:val="Hyperlink"/>
          </w:rPr>
          <w:t xml:space="preserve">https://doi.org/10.1177/1745691612465253</w:t>
        </w:r>
      </w:hyperlink>
    </w:p>
    <w:bookmarkEnd w:id="54"/>
    <w:bookmarkStart w:id="56"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5">
        <w:r>
          <w:rPr>
            <w:rStyle w:val="Hyperlink"/>
          </w:rPr>
          <w:t xml:space="preserve">https://www.R-project.org/</w:t>
        </w:r>
      </w:hyperlink>
    </w:p>
    <w:bookmarkEnd w:id="56"/>
    <w:bookmarkStart w:id="57"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7"/>
    <w:bookmarkStart w:id="5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58">
        <w:r>
          <w:rPr>
            <w:rStyle w:val="Hyperlink"/>
          </w:rPr>
          <w:t xml:space="preserve">https://doi.org/10.1177/1745691616658637</w:t>
        </w:r>
      </w:hyperlink>
    </w:p>
    <w:bookmarkEnd w:id="59"/>
    <w:bookmarkStart w:id="6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60">
        <w:r>
          <w:rPr>
            <w:rStyle w:val="Hyperlink"/>
          </w:rPr>
          <w:t xml:space="preserve">https://doi.org/10.1177/1094428115610808</w:t>
        </w:r>
      </w:hyperlink>
    </w:p>
    <w:bookmarkEnd w:id="61"/>
    <w:bookmarkStart w:id="6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62">
        <w:r>
          <w:rPr>
            <w:rStyle w:val="Hyperlink"/>
          </w:rPr>
          <w:t xml:space="preserve">https://doi.org/10.1177/1745691619850561</w:t>
        </w:r>
      </w:hyperlink>
    </w:p>
    <w:bookmarkEnd w:id="63"/>
    <w:bookmarkStart w:id="6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64">
        <w:r>
          <w:rPr>
            <w:rStyle w:val="Hyperlink"/>
          </w:rPr>
          <w:t xml:space="preserve">https://ggplot2.tidyverse.org</w:t>
        </w:r>
      </w:hyperlink>
    </w:p>
    <w:bookmarkEnd w:id="65"/>
    <w:bookmarkStart w:id="6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66">
        <w:r>
          <w:rPr>
            <w:rStyle w:val="Hyperlink"/>
          </w:rPr>
          <w:t xml:space="preserve">https://CRAN.R-project.org/package=dplyr</w:t>
        </w:r>
      </w:hyperlink>
    </w:p>
    <w:bookmarkEnd w:id="67"/>
    <w:bookmarkStart w:id="6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68">
        <w:r>
          <w:rPr>
            <w:rStyle w:val="Hyperlink"/>
          </w:rPr>
          <w:t xml:space="preserve">https://CRAN.R-project.org/package=readr</w:t>
        </w:r>
      </w:hyperlink>
    </w:p>
    <w:bookmarkEnd w:id="69"/>
    <w:bookmarkStart w:id="7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70">
        <w:r>
          <w:rPr>
            <w:rStyle w:val="Hyperlink"/>
          </w:rPr>
          <w:t xml:space="preserve">https://bookdown.org/yihui/rmarkdown</w:t>
        </w:r>
      </w:hyperlink>
    </w:p>
    <w:bookmarkEnd w:id="71"/>
    <w:bookmarkStart w:id="7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72">
        <w:r>
          <w:rPr>
            <w:rStyle w:val="Hyperlink"/>
          </w:rPr>
          <w:t xml:space="preserve">https://bookdown.org/yihui/rmarkdown-cookbook</w:t>
        </w:r>
      </w:hyperlink>
    </w:p>
    <w:bookmarkEnd w:id="73"/>
    <w:bookmarkEnd w:id="74"/>
    <w:p>
      <w:r>
        <w:br w:type="page"/>
      </w:r>
    </w:p>
    <w:bookmarkEnd w:id="75"/>
    <w:bookmarkStart w:id="81" w:name="tables-and-figures"/>
    <w:p>
      <w:pPr>
        <w:pStyle w:val="berschrift1"/>
      </w:pPr>
      <w:r>
        <w:t xml:space="preserve">Tables and Figures</w:t>
      </w:r>
    </w:p>
    <w:bookmarkStart w:id="7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76"/>
    <w:bookmarkStart w:id="7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7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78"/>
    <w:bookmarkStart w:id="8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7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80"/>
    <w:bookmarkEnd w:id="8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hyperlink" Id="rId66" Target="https://CRAN.R-project.org/package=dplyr" TargetMode="External" /><Relationship Type="http://schemas.openxmlformats.org/officeDocument/2006/relationships/hyperlink" Id="rId43" Target="https://CRAN.R-project.org/package=glue" TargetMode="External" /><Relationship Type="http://schemas.openxmlformats.org/officeDocument/2006/relationships/hyperlink" Id="rId51" Target="https://CRAN.R-project.org/package=here" TargetMode="External" /><Relationship Type="http://schemas.openxmlformats.org/officeDocument/2006/relationships/hyperlink" Id="rId41"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5" Target="https://doi.org/10.1037/a0040437" TargetMode="External" /><Relationship Type="http://schemas.openxmlformats.org/officeDocument/2006/relationships/hyperlink" Id="rId33" Target="https://doi.org/10.1038/s41562-019-0807-z" TargetMode="External" /><Relationship Type="http://schemas.openxmlformats.org/officeDocument/2006/relationships/hyperlink" Id="rId49" Target="https://doi.org/10.1177/0081175018777988" TargetMode="External" /><Relationship Type="http://schemas.openxmlformats.org/officeDocument/2006/relationships/hyperlink" Id="rId60" Target="https://doi.org/10.1177/1094428115610808" TargetMode="External" /><Relationship Type="http://schemas.openxmlformats.org/officeDocument/2006/relationships/hyperlink" Id="rId53" Target="https://doi.org/10.1177/1745691612465253" TargetMode="External" /><Relationship Type="http://schemas.openxmlformats.org/officeDocument/2006/relationships/hyperlink" Id="rId58" Target="https://doi.org/10.1177/1745691616658637" TargetMode="External" /><Relationship Type="http://schemas.openxmlformats.org/officeDocument/2006/relationships/hyperlink" Id="rId62" Target="https://doi.org/10.1177/1745691619850561" TargetMode="External" /><Relationship Type="http://schemas.openxmlformats.org/officeDocument/2006/relationships/hyperlink" Id="rId47" Target="https://doi.org/10.2307/2392366" TargetMode="External" /><Relationship Type="http://schemas.openxmlformats.org/officeDocument/2006/relationships/hyperlink" Id="rId64"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35" Target="https://github.com/jorvlan/raincloudplots" TargetMode="External" /><Relationship Type="http://schemas.openxmlformats.org/officeDocument/2006/relationships/hyperlink" Id="rId39"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5"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dplyr" TargetMode="External" /><Relationship Type="http://schemas.openxmlformats.org/officeDocument/2006/relationships/hyperlink" Id="rId43" Target="https://CRAN.R-project.org/package=glue" TargetMode="External" /><Relationship Type="http://schemas.openxmlformats.org/officeDocument/2006/relationships/hyperlink" Id="rId51" Target="https://CRAN.R-project.org/package=here" TargetMode="External" /><Relationship Type="http://schemas.openxmlformats.org/officeDocument/2006/relationships/hyperlink" Id="rId41"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5" Target="https://doi.org/10.1037/a0040437" TargetMode="External" /><Relationship Type="http://schemas.openxmlformats.org/officeDocument/2006/relationships/hyperlink" Id="rId33" Target="https://doi.org/10.1038/s41562-019-0807-z" TargetMode="External" /><Relationship Type="http://schemas.openxmlformats.org/officeDocument/2006/relationships/hyperlink" Id="rId49" Target="https://doi.org/10.1177/0081175018777988" TargetMode="External" /><Relationship Type="http://schemas.openxmlformats.org/officeDocument/2006/relationships/hyperlink" Id="rId60" Target="https://doi.org/10.1177/1094428115610808" TargetMode="External" /><Relationship Type="http://schemas.openxmlformats.org/officeDocument/2006/relationships/hyperlink" Id="rId53" Target="https://doi.org/10.1177/1745691612465253" TargetMode="External" /><Relationship Type="http://schemas.openxmlformats.org/officeDocument/2006/relationships/hyperlink" Id="rId58" Target="https://doi.org/10.1177/1745691616658637" TargetMode="External" /><Relationship Type="http://schemas.openxmlformats.org/officeDocument/2006/relationships/hyperlink" Id="rId62" Target="https://doi.org/10.1177/1745691619850561" TargetMode="External" /><Relationship Type="http://schemas.openxmlformats.org/officeDocument/2006/relationships/hyperlink" Id="rId47" Target="https://doi.org/10.2307/2392366" TargetMode="External" /><Relationship Type="http://schemas.openxmlformats.org/officeDocument/2006/relationships/hyperlink" Id="rId64"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35" Target="https://github.com/jorvlan/raincloudplots" TargetMode="External" /><Relationship Type="http://schemas.openxmlformats.org/officeDocument/2006/relationships/hyperlink" Id="rId39"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5"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2021-09-27T20:32:08Z</dcterms:created>
  <dcterms:modified xsi:type="dcterms:W3CDTF">2021-09-27T20:32:08Z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1,891</vt:lpwstr>
  </property>
</Properties>
</file>