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06.png" ContentType="image/png"/>
  <Override PartName="/word/media/rId102.png" ContentType="image/png"/>
  <Override PartName="/word/media/rId105.png" ContentType="image/png"/>
  <Override PartName="/word/media/rId100.png" ContentType="image/png"/>
  <Override PartName="/word/media/rId101.png" ContentType="image/png"/>
  <Override PartName="/word/media/rId103.png" ContentType="image/png"/>
  <Override PartName="/word/media/rId98.png" ContentType="image/png"/>
  <Override PartName="/word/media/rId107.png" ContentType="image/png"/>
  <Override PartName="/word/media/rId104.png" ContentType="image/png"/>
  <Override PartName="/word/media/rId99.png" ContentType="image/png"/>
  <Override PartName="/word/media/rId110.jpg" ContentType="image/jpeg"/>
  <Override PartName="/word/media/rId11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Crowd-Scientific</w:t>
      </w:r>
      <w:r>
        <w:t xml:space="preserve"> </w:t>
      </w:r>
      <w:r>
        <w:t xml:space="preserve">Findings:</w:t>
      </w:r>
      <w:r>
        <w:t xml:space="preserve"> </w:t>
      </w:r>
      <w:r>
        <w:t xml:space="preserve">The</w:t>
      </w:r>
      <w:r>
        <w:t xml:space="preserve"> </w:t>
      </w:r>
      <w:r>
        <w:t xml:space="preserve">Risks</w:t>
      </w:r>
      <w:r>
        <w:t xml:space="preserve"> </w:t>
      </w:r>
      <w:r>
        <w:t xml:space="preserve">of</w:t>
      </w:r>
      <w:r>
        <w:t xml:space="preserve"> </w:t>
      </w:r>
      <w:r>
        <w:t xml:space="preserve">Variability</w:t>
      </w:r>
      <w:r>
        <w:t xml:space="preserve"> </w:t>
      </w:r>
      <w:r>
        <w:t xml:space="preserve">and</w:t>
      </w:r>
      <w:r>
        <w:t xml:space="preserve"> </w:t>
      </w:r>
      <w:r>
        <w:t xml:space="preserve">Lack</w:t>
      </w:r>
      <w:r>
        <w:t xml:space="preserve"> </w:t>
      </w:r>
      <w:r>
        <w:t xml:space="preserve">of</w:t>
      </w:r>
      <w:r>
        <w:t xml:space="preserve"> </w:t>
      </w:r>
      <w:r>
        <w:t xml:space="preserve">Consensus</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answer a research question and/or estimate a parameter of interest. We compare the effects of providing a single, aggregate parameter estimate (the single-analyst condition) vs. multiple parameter estimates that (a)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(b) vary widely and are of both signs, leading to differing qualitative conclusions (the</w:t>
      </w:r>
      <w:r>
        <w:t xml:space="preserve"> </w:t>
      </w:r>
      <w:r>
        <w:t xml:space="preserve">“</w:t>
      </w:r>
      <w:r>
        <w:t xml:space="preserve">multi-inconsistent</w:t>
      </w:r>
      <w:r>
        <w:t xml:space="preserve">”</w:t>
      </w:r>
      <w:r>
        <w:t xml:space="preserve"> </w:t>
      </w:r>
      <w:r>
        <w:t xml:space="preserve">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3,692</w:t>
      </w:r>
    </w:p>
    <w:p>
      <w:pPr>
        <w:pStyle w:val="h1-pagebreak"/>
      </w:pPr>
      <w:r>
        <w:t xml:space="preserve">Lay Perceptions of Crowd-Scientific Findings: The Risks of Variability and Lack of Consensus</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 which leverages a large number of individuals or teams at specific stages of the research process</w:t>
      </w:r>
      <w:r>
        <w:t xml:space="preserve"> </w:t>
      </w:r>
      <w:r>
        <w:t xml:space="preserve">(Uhlmann et al., 2019)</w:t>
      </w:r>
      <w:r>
        <w:t xml:space="preserve">.</w:t>
      </w:r>
      <w:r>
        <w:br/>
      </w:r>
      <w:r>
        <w:t xml:space="preserve">Crowd science is defined as</w:t>
      </w:r>
      <w:r>
        <w:t xml:space="preserve"> </w:t>
      </w:r>
      <w:r>
        <w:t xml:space="preserve">“</w:t>
      </w:r>
      <w:r>
        <w:t xml:space="preserve">the organization of scientific research in open and collaborative projects</w:t>
      </w:r>
      <w:r>
        <w:t xml:space="preserve">”</w:t>
      </w:r>
      <w:r>
        <w:t xml:space="preserve"> </w:t>
      </w:r>
      <w:r>
        <w:t xml:space="preserve">(Franzoni &amp; Sauermann, 2014, p. 1)</w:t>
      </w:r>
      <w:r>
        <w:t xml:space="preserve">. Crowd-scientific projects vary in their degree of selectivity: some are open to the general public (such projects are often referred to as</w:t>
      </w:r>
      <w:r>
        <w:t xml:space="preserve"> </w:t>
      </w:r>
      <w:r>
        <w:t xml:space="preserve">“</w:t>
      </w:r>
      <w:r>
        <w:t xml:space="preserve">citizen science</w:t>
      </w:r>
      <w:r>
        <w:t xml:space="preserve">”</w:t>
      </w:r>
      <w:r>
        <w:t xml:space="preserve">), while others require the expertise of specialists</w:t>
      </w:r>
      <w:r>
        <w:t xml:space="preserve"> </w:t>
      </w:r>
      <w:r>
        <w:t xml:space="preserve">(e.g., scientists; Uhlmann et al., 2019, p. 714)</w:t>
      </w:r>
      <w:r>
        <w:t xml:space="preserve">. Here,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it to answer the same research question and/or estimate a parameter of interest.</w:t>
      </w:r>
      <w:r>
        <w:br/>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compare the effects of providing lay consumers with a single, aggregate parameter estimate (the single-analyst condition) vs. multiple parameter estimates that (a)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(b) vary widely and are of both signs, leading to differing qualitative conclusions (the</w:t>
      </w:r>
      <w:r>
        <w:t xml:space="preserve"> </w:t>
      </w:r>
      <w:r>
        <w:t xml:space="preserve">“</w:t>
      </w:r>
      <w:r>
        <w:t xml:space="preserve">multi-inconsistent</w:t>
      </w:r>
      <w:r>
        <w:t xml:space="preserve">”</w:t>
      </w:r>
      <w:r>
        <w:t xml:space="preserve"> </w:t>
      </w:r>
      <w:r>
        <w:t xml:space="preserve">condition).</w:t>
      </w:r>
      <w:r>
        <w:br/>
      </w:r>
      <w:r>
        <w:t xml:space="preserve">According to previous work, crowdsourced data analysis should increase the credibility of scientific findings; Table 1 provides an overview of the proposed confidence- and credibility-related benefits of the multi-analyst approach. Does crowd science meet its promise – to improve the credibility of scientific research – in reality? Normatively, we expect laypeople who observe several scientists independently come to the same qualitative conclusions – compared to a single research team that comes to a single, joint conclusion – to be more swayed by the findings, as it seems to reflect consensus between various approaches. After all, it’s a hallmark of rigorous research to triangulate various methodological approaches and provide converging evidence</w:t>
      </w:r>
      <w:r>
        <w:t xml:space="preserve"> </w:t>
      </w:r>
      <w:r>
        <w:t xml:space="preserve">(Jick, 1979; Turner, Cardinal, &amp; Burton, 2017)</w:t>
      </w:r>
      <w:r>
        <w:t xml:space="preserve">, and to provide a</w:t>
      </w:r>
      <w:r>
        <w:t xml:space="preserve"> </w:t>
      </w:r>
      <w:r>
        <w:t xml:space="preserve">“</w:t>
      </w:r>
      <w:r>
        <w:t xml:space="preserve">sensitivity analysis</w:t>
      </w:r>
      <w:r>
        <w:t xml:space="preserve">”</w:t>
      </w:r>
      <w:r>
        <w:t xml:space="preserve"> </w:t>
      </w:r>
      <w:r>
        <w:t xml:space="preserve">or</w:t>
      </w:r>
      <w:r>
        <w:t xml:space="preserve"> </w:t>
      </w:r>
      <w:r>
        <w:t xml:space="preserve">“</w:t>
      </w:r>
      <w:r>
        <w:t xml:space="preserve">robustness checks</w:t>
      </w:r>
      <w:r>
        <w:t xml:space="preserve">”</w:t>
      </w:r>
      <w:r>
        <w:t xml:space="preserve"> </w:t>
      </w:r>
      <w:r>
        <w:t xml:space="preserve">to examine whether and how the findings change as a result of alternative analytic specifications</w:t>
      </w:r>
      <w:r>
        <w:t xml:space="preserve"> </w:t>
      </w:r>
      <w:r>
        <w:t xml:space="preserve">(Muñoz &amp; Young, 2018; Steegen, Tuerlinckx, Gelman, &amp; Vanpaemel, 2016)</w:t>
      </w:r>
      <w:r>
        <w:t xml:space="preserve">. As argued in Aczel et al.</w:t>
      </w:r>
      <w:r>
        <w:t xml:space="preserve"> </w:t>
      </w:r>
      <w:r>
        <w:t xml:space="preserve">(2020, p. 562)</w:t>
      </w:r>
      <w:r>
        <w:t xml:space="preserve">,</w:t>
      </w:r>
      <w:r>
        <w:t xml:space="preserve"> </w:t>
      </w:r>
      <w:r>
        <w:t xml:space="preserve">“</w:t>
      </w:r>
      <w:r>
        <w:t xml:space="preserve">The main argument for the importance of performing robustness checks over reasonable variations in modelling choices is to increase confidence in the obtained results: ideally, results should be reasonably unaffected by a researcher’s idiosyncratic choice (…) when reasonable alternatives exist.</w:t>
      </w:r>
      <w:r>
        <w:t xml:space="preserve">”</w:t>
      </w:r>
      <w:r>
        <w:t xml:space="preserve"> </w:t>
      </w:r>
      <w:r>
        <w:t xml:space="preserve">The same argument has been made for triangulation, which, according to Jick</w:t>
      </w:r>
      <w:r>
        <w:t xml:space="preserve"> </w:t>
      </w:r>
      <w:r>
        <w:t xml:space="preserve">(1979, p. 608)</w:t>
      </w:r>
      <w:r>
        <w:t xml:space="preserve">,</w:t>
      </w:r>
      <w:r>
        <w:t xml:space="preserve"> </w:t>
      </w:r>
      <w:r>
        <w:t xml:space="preserve">“</w:t>
      </w:r>
      <w:r>
        <w:t xml:space="preserve">allows researchers to be more confident of their results.</w:t>
      </w:r>
      <w:r>
        <w:t xml:space="preserve">”</w:t>
      </w:r>
      <w:r>
        <w:br/>
      </w:r>
      <w:r>
        <w:t xml:space="preserve">We similarly expect readers of multi-analyst reports that yield consistent findings to be more confident in the results. Although lay observers, in such cases, may be less certain that the precise aggregate parameter estimate is exactly correct, they should be more likely to positively update their beliefs about the reported phenomenon, and less likely to assume that the overall estimate stems from bias or error. Thus,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Pr>
          <w:bCs/>
          <w:b/>
        </w:rPr>
        <w:t xml:space="preserve">[Insert Table 1 here]</w:t>
      </w:r>
      <w:r>
        <w:br/>
      </w:r>
      <w:r>
        <w:t xml:space="preserve">Our pre-registered hypotheses (</w:t>
      </w:r>
      <w:hyperlink r:id="rId21">
        <w:r>
          <w:rPr>
            <w:rStyle w:val="Hyperlink"/>
          </w:rPr>
          <w:t xml:space="preserve">https://osf.io/rpu98</w:t>
        </w:r>
      </w:hyperlink>
      <w:r>
        <w:t xml:space="preserve">) can be found in Table 2: we hypothesized that in the multi-consistent condition (compared to the single-analyst condition), lay consumers would have higher posterior beliefs, would find the results more credible, and would be less likely to believe the results stem from bias or error. For the multi-inconsistent condition, we hypothesized that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multi-analyst conditions.</w:t>
      </w:r>
      <w:r>
        <w:br/>
      </w:r>
      <w:r>
        <w:rPr>
          <w:bCs/>
          <w:b/>
        </w:rPr>
        <w:t xml:space="preserve">[Insert Table 2 here]</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t xml:space="preserve">Afterwards, participants rated (1) their posterior beliefs, (2) the credibility of the results, (3) their confidence in the effect size estimate, and how likely it is that the estimate was influenced by (4) bias, (5) error, and (6) researcher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single-analyst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2. We did not preregister any hypotheses for the last measure; the findings concerning the impact of experimental condition on ratings of researcher degrees of freedom are exploratory, and should be treated as such. Because we test five separate hypotheses using two comparisons each (one comparison of the single-analyst vs. the multi-consistent condition, and one comparison of the single-analyst vs. the multi-inconsistent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single-analyst, multi-consistent, and multi-inconsistent condition, respectively).</w:t>
      </w:r>
      <w:r>
        <w:br/>
      </w:r>
      <w:r>
        <w:t xml:space="preserve">Figure 1 displays the main findings of our linear regression models, which compare each condition to the single-analyst condition and control for prior beliefs. For the multi-inconsistent condition, we found significantly lower (a) posterior beliefs,</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p</m:t>
        </m:r>
        <m:r>
          <m:rPr>
            <m:sty m:val="p"/>
          </m:rPr>
          <m:t>&lt;</m:t>
        </m:r>
        <m:r>
          <m:t>.001</m:t>
        </m:r>
      </m:oMath>
      <w:r>
        <w:t xml:space="preserve">; (b) ratings of credibility,</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p</m:t>
        </m:r>
        <m:r>
          <m:rPr>
            <m:sty m:val="p"/>
          </m:rPr>
          <m:t>&lt;</m:t>
        </m:r>
        <m:r>
          <m:t>.001</m:t>
        </m:r>
      </m:oMath>
      <w:r>
        <w:t xml:space="preserve">; and (c) confidence in the effect size estimate,</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p</m:t>
        </m:r>
        <m:r>
          <m:rPr>
            <m:sty m:val="p"/>
          </m:rPr>
          <m:t>&lt;</m:t>
        </m:r>
        <m:r>
          <m:t>.001</m:t>
        </m:r>
      </m:oMath>
      <w:r>
        <w:t xml:space="preserve">; and significantly higher (d) ratings of bias,</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p</m:t>
        </m:r>
        <m:r>
          <m:rPr>
            <m:sty m:val="p"/>
          </m:rPr>
          <m:t>&lt;</m:t>
        </m:r>
        <m:r>
          <m:t>.001</m:t>
        </m:r>
      </m:oMath>
      <w:r>
        <w:t xml:space="preserve">; (e) error,</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p</m:t>
        </m:r>
        <m:r>
          <m:rPr>
            <m:sty m:val="p"/>
          </m:rPr>
          <m:t>&lt;</m:t>
        </m:r>
        <m:r>
          <m:t>.001</m:t>
        </m:r>
      </m:oMath>
      <w:r>
        <w:t xml:space="preserve">; and (f) discretion,</w:t>
      </w:r>
      <w:r>
        <w:t xml:space="preserve"> </w:t>
      </w:r>
      <m:oMath>
        <m:r>
          <m:t>b</m:t>
        </m:r>
        <m:r>
          <m:rPr>
            <m:sty m:val="p"/>
          </m:rPr>
          <m:t>=</m:t>
        </m:r>
        <m:r>
          <m:t>9.22</m:t>
        </m:r>
      </m:oMath>
      <w:r>
        <w:t xml:space="preserve">, 95% CI</w:t>
      </w:r>
      <w:r>
        <w:t xml:space="preserve"> </w:t>
      </w:r>
      <m:oMath>
        <m:r>
          <m:rPr>
            <m:sty m:val="p"/>
          </m:rPr>
          <m:t>[</m:t>
        </m:r>
        <m:r>
          <m:t>6.46</m:t>
        </m:r>
        <m:r>
          <m:rPr>
            <m:sty m:val="p"/>
          </m:rPr>
          <m:t>,</m:t>
        </m:r>
        <m:r>
          <m:t>11.98</m:t>
        </m:r>
        <m:r>
          <m:rPr>
            <m:sty m:val="p"/>
          </m:rPr>
          <m:t>]</m:t>
        </m:r>
      </m:oMath>
      <w:r>
        <w:t xml:space="preserve">,</w:t>
      </w:r>
      <w:r>
        <w:t xml:space="preserve"> </w:t>
      </w:r>
      <m:oMath>
        <m:r>
          <m:t>p</m:t>
        </m:r>
        <m:r>
          <m:rPr>
            <m:sty m:val="p"/>
          </m:rPr>
          <m:t>&lt;</m:t>
        </m:r>
        <m:r>
          <m:t>.001</m:t>
        </m:r>
      </m:oMath>
      <w:r>
        <w:t xml:space="preserve">.</w:t>
      </w:r>
      <w:r>
        <w:br/>
      </w:r>
      <w:r>
        <w:t xml:space="preserve">For the multi-consistent condition, we found significantly lower (a) posterior beliefs,</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p</m:t>
        </m:r>
        <m:r>
          <m:rPr>
            <m:sty m:val="p"/>
          </m:rPr>
          <m:t>&lt;</m:t>
        </m:r>
        <m:r>
          <m:t>.001</m:t>
        </m:r>
      </m:oMath>
      <w:r>
        <w:t xml:space="preserve">; significantly higher (b) ratings of error,</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p</m:t>
        </m:r>
        <m:r>
          <m:rPr>
            <m:sty m:val="p"/>
          </m:rPr>
          <m:t>=</m:t>
        </m:r>
        <m:r>
          <m:t>.016</m:t>
        </m:r>
      </m:oMath>
      <w:r>
        <w:t xml:space="preserve">; and (c) discretion,</w:t>
      </w:r>
      <w:r>
        <w:t xml:space="preserve"> </w:t>
      </w:r>
      <m:oMath>
        <m:r>
          <m:t>b</m:t>
        </m:r>
        <m:r>
          <m:rPr>
            <m:sty m:val="p"/>
          </m:rPr>
          <m:t>=</m:t>
        </m:r>
        <m:r>
          <m:t>5.14</m:t>
        </m:r>
      </m:oMath>
      <w:r>
        <w:t xml:space="preserve">, 95% CI</w:t>
      </w:r>
      <w:r>
        <w:t xml:space="preserve"> </w:t>
      </w:r>
      <m:oMath>
        <m:r>
          <m:rPr>
            <m:sty m:val="p"/>
          </m:rPr>
          <m:t>[</m:t>
        </m:r>
        <m:r>
          <m:t>2.37</m:t>
        </m:r>
        <m:r>
          <m:rPr>
            <m:sty m:val="p"/>
          </m:rPr>
          <m:t>,</m:t>
        </m:r>
        <m:r>
          <m:t>7.91</m:t>
        </m:r>
        <m:r>
          <m:rPr>
            <m:sty m:val="p"/>
          </m:rPr>
          <m:t>]</m:t>
        </m:r>
      </m:oMath>
      <w:r>
        <w:t xml:space="preserve">,</w:t>
      </w:r>
      <w:r>
        <w:t xml:space="preserve"> </w:t>
      </w:r>
      <m:oMath>
        <m:r>
          <m:t>p</m:t>
        </m:r>
        <m:r>
          <m:rPr>
            <m:sty m:val="p"/>
          </m:rPr>
          <m:t>&lt;</m:t>
        </m:r>
        <m:r>
          <m:t>.001</m:t>
        </m:r>
      </m:oMath>
      <w:r>
        <w:t xml:space="preserve">, and no significant effects on (d) ratings of credibility,</w:t>
      </w:r>
      <w:r>
        <w:t xml:space="preserve"> </w:t>
      </w:r>
      <m:oMath>
        <m:r>
          <m:t>b</m:t>
        </m:r>
        <m:r>
          <m:rPr>
            <m:sty m:val="p"/>
          </m:rPr>
          <m:t>=</m:t>
        </m:r>
        <m:r>
          <m:t>1.24</m:t>
        </m:r>
      </m:oMath>
      <w:r>
        <w:t xml:space="preserve">, 95% CI</w:t>
      </w:r>
      <w:r>
        <w:t xml:space="preserve"> </w:t>
      </w:r>
      <m:oMath>
        <m:r>
          <m:rPr>
            <m:sty m:val="p"/>
          </m:rPr>
          <m:t>[</m:t>
        </m:r>
        <m:r>
          <m:rPr>
            <m:sty m:val="p"/>
          </m:rPr>
          <m:t>−</m:t>
        </m:r>
        <m:r>
          <m:t>1.53</m:t>
        </m:r>
        <m:r>
          <m:rPr>
            <m:sty m:val="p"/>
          </m:rPr>
          <m:t>,</m:t>
        </m:r>
        <m:r>
          <m:t>4.02</m:t>
        </m:r>
        <m:r>
          <m:rPr>
            <m:sty m:val="p"/>
          </m:rPr>
          <m:t>]</m:t>
        </m:r>
      </m:oMath>
      <w:r>
        <w:t xml:space="preserve">,</w:t>
      </w:r>
      <w:r>
        <w:t xml:space="preserve"> </w:t>
      </w:r>
      <m:oMath>
        <m:r>
          <m:t>p</m:t>
        </m:r>
        <m:r>
          <m:rPr>
            <m:sty m:val="p"/>
          </m:rPr>
          <m:t>=</m:t>
        </m:r>
        <m:r>
          <m:t>.380</m:t>
        </m:r>
      </m:oMath>
      <w:r>
        <w:t xml:space="preserve">, (e) confidence in the effect size estimate,</w:t>
      </w:r>
      <w:r>
        <w:t xml:space="preserve"> </w:t>
      </w:r>
      <m:oMath>
        <m:r>
          <m:t>b</m:t>
        </m:r>
        <m:r>
          <m:rPr>
            <m:sty m:val="p"/>
          </m:rPr>
          <m:t>=</m:t>
        </m:r>
        <m:r>
          <m:t>0.49</m:t>
        </m:r>
      </m:oMath>
      <w:r>
        <w:t xml:space="preserve">, 95% CI</w:t>
      </w:r>
      <w:r>
        <w:t xml:space="preserve"> </w:t>
      </w:r>
      <m:oMath>
        <m:r>
          <m:rPr>
            <m:sty m:val="p"/>
          </m:rPr>
          <m:t>[</m:t>
        </m:r>
        <m:r>
          <m:rPr>
            <m:sty m:val="p"/>
          </m:rPr>
          <m:t>−</m:t>
        </m:r>
        <m:r>
          <m:t>2.53</m:t>
        </m:r>
        <m:r>
          <m:rPr>
            <m:sty m:val="p"/>
          </m:rPr>
          <m:t>,</m:t>
        </m:r>
        <m:r>
          <m:t>3.52</m:t>
        </m:r>
        <m:r>
          <m:rPr>
            <m:sty m:val="p"/>
          </m:rPr>
          <m:t>]</m:t>
        </m:r>
      </m:oMath>
      <w:r>
        <w:t xml:space="preserve">,</w:t>
      </w:r>
      <w:r>
        <w:t xml:space="preserve"> </w:t>
      </w:r>
      <m:oMath>
        <m:r>
          <m:t>p</m:t>
        </m:r>
        <m:r>
          <m:rPr>
            <m:sty m:val="p"/>
          </m:rPr>
          <m:t>=</m:t>
        </m:r>
        <m:r>
          <m:t>.749</m:t>
        </m:r>
      </m:oMath>
      <w:r>
        <w:t xml:space="preserve">, or (f) ratings of bias,</w:t>
      </w:r>
      <w:r>
        <w:t xml:space="preserve"> </w:t>
      </w:r>
      <m:oMath>
        <m:r>
          <m:t>b</m:t>
        </m:r>
        <m:r>
          <m:rPr>
            <m:sty m:val="p"/>
          </m:rPr>
          <m:t>=</m:t>
        </m:r>
        <m:r>
          <m:t>2.13</m:t>
        </m:r>
      </m:oMath>
      <w:r>
        <w:t xml:space="preserve">, 95% CI</w:t>
      </w:r>
      <w:r>
        <w:t xml:space="preserve"> </w:t>
      </w:r>
      <m:oMath>
        <m:r>
          <m:rPr>
            <m:sty m:val="p"/>
          </m:rPr>
          <m:t>[</m:t>
        </m:r>
        <m:r>
          <m:rPr>
            <m:sty m:val="p"/>
          </m:rPr>
          <m:t>−</m:t>
        </m:r>
        <m:r>
          <m:t>1.08</m:t>
        </m:r>
        <m:r>
          <m:rPr>
            <m:sty m:val="p"/>
          </m:rPr>
          <m:t>,</m:t>
        </m:r>
        <m:r>
          <m:t>5.35</m:t>
        </m:r>
        <m:r>
          <m:rPr>
            <m:sty m:val="p"/>
          </m:rPr>
          <m:t>]</m:t>
        </m:r>
      </m:oMath>
      <w:r>
        <w:t xml:space="preserve">,</w:t>
      </w:r>
      <w:r>
        <w:t xml:space="preserve"> </w:t>
      </w:r>
      <m:oMath>
        <m:r>
          <m:t>p</m:t>
        </m:r>
        <m:r>
          <m:rPr>
            <m:sty m:val="p"/>
          </m:rPr>
          <m:t>=</m:t>
        </m:r>
        <m:r>
          <m:t>.192</m:t>
        </m:r>
      </m:oMath>
      <w:r>
        <w:t xml:space="preserve">.</w:t>
      </w:r>
      <w:r>
        <w:br/>
      </w:r>
      <w:r>
        <w:rPr>
          <w:bCs/>
          <w:b/>
        </w:rPr>
        <w:t xml:space="preserve">[Insert Figure 1 here]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Pr>
          <w:bCs/>
          <w:b/>
        </w:rPr>
        <w:t xml:space="preserve">[Insert Figure 2 here]</w:t>
      </w:r>
      <w:r>
        <w:br/>
      </w:r>
      <w:r>
        <w:t xml:space="preserve">It is worth noting on the basis of Figure 2 and a post-hoc, paired</w:t>
      </w:r>
      <w:r>
        <w:t xml:space="preserve"> </w:t>
      </w:r>
      <w:r>
        <w:rPr>
          <w:iCs/>
          <w:i/>
        </w:rPr>
        <w:t xml:space="preserve">t</w:t>
      </w:r>
      <w:r>
        <w:t xml:space="preserve">-test that, while multi-analyst studies with consistent results perform worse or no better than single-analyst studies on all measures, there is a significant, positive effect of the findings on posterior beliefs</w:t>
      </w:r>
      <w:r>
        <w:t xml:space="preserve"> </w:t>
      </w:r>
      <w:r>
        <w:rPr>
          <w:iCs/>
          <w:i/>
        </w:rPr>
        <w:t xml:space="preserve">within</w:t>
      </w:r>
      <w:r>
        <w:t xml:space="preserve"> </w:t>
      </w:r>
      <w:r>
        <w:t xml:space="preserve">the multi-consistent condition: i.e., beliefs in the research hypothesis are greater after reading the multi-consistent study results,</w:t>
      </w:r>
      <w:r>
        <w:t xml:space="preserve"> </w:t>
      </w:r>
      <m:oMath>
        <m:sSub>
          <m:e>
            <m:r>
              <m:t>M</m:t>
            </m:r>
          </m:e>
          <m:sub>
            <m:r>
              <m:t>d</m:t>
            </m:r>
          </m:sub>
        </m:sSub>
        <m:r>
          <m:rPr>
            <m:sty m:val="p"/>
          </m:rPr>
          <m:t>=</m:t>
        </m:r>
        <m:r>
          <m:t>4.75</m:t>
        </m:r>
      </m:oMath>
      <w:r>
        <w:t xml:space="preserve">, 95% CI</w:t>
      </w:r>
      <w:r>
        <w:t xml:space="preserve"> </w:t>
      </w:r>
      <m:oMath>
        <m:r>
          <m:rPr>
            <m:sty m:val="p"/>
          </m:rPr>
          <m:t>[</m:t>
        </m:r>
        <m:r>
          <m:t>2.55</m:t>
        </m:r>
        <m:r>
          <m:rPr>
            <m:sty m:val="p"/>
          </m:rPr>
          <m:t>,</m:t>
        </m:r>
        <m:r>
          <m:t>6.95</m:t>
        </m:r>
        <m:r>
          <m:rPr>
            <m:sty m:val="p"/>
          </m:rPr>
          <m:t>]</m:t>
        </m:r>
      </m:oMath>
      <w:r>
        <w:t xml:space="preserve">,</w:t>
      </w:r>
      <w:r>
        <w:t xml:space="preserve"> </w:t>
      </w:r>
      <m:oMath>
        <m:r>
          <m:t>p</m:t>
        </m:r>
        <m:r>
          <m:rPr>
            <m:sty m:val="p"/>
          </m:rPr>
          <m:t>&lt;</m:t>
        </m:r>
        <m:r>
          <m:t>.001</m:t>
        </m:r>
      </m:oMath>
      <w:r>
        <w:t xml:space="preserve">. This finding clarifies that multi-analyst studies are not necessarily bad in absolute terms — however, when comparing to conventional, single-analyst scientific research, crowdsourced data analysis does not seem to provide an improvement in the sway and credibility of scientific research to lay consumers.</w:t>
      </w:r>
    </w:p>
    <w:bookmarkEnd w:id="29"/>
    <w:bookmarkStart w:id="33" w:name="discussion"/>
    <w:p>
      <w:pPr>
        <w:pStyle w:val="berschrift1"/>
      </w:pPr>
      <w:r>
        <w:t xml:space="preserve">Discussion</w:t>
      </w:r>
    </w:p>
    <w:p>
      <w:pPr>
        <w:pStyle w:val="FirstParagraph"/>
      </w:pP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has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w:t>
      </w:r>
      <w:r>
        <w:br/>
      </w:r>
      <w:r>
        <w:t xml:space="preserve">While partly instituted with the goal of improving the credibility of scientific research (as shown in Table 1), lay consumers appear to resist the variability and lack of consensus that often comes with multi-analyst research. To our surprise, even when results generated by independent analysts are largely consistent, lay consumers are less likely to believe in the reported phenomenon and more likely to think that the findings stem from error and researcher degrees of freedom.</w:t>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4.0.5; R Core Team, 2021)</w:t>
      </w:r>
      <w:r>
        <w:t xml:space="preserve"> </w:t>
      </w:r>
      <w:r>
        <w:t xml:space="preserve">and the R-packages</w:t>
      </w:r>
      <w:r>
        <w:t xml:space="preserve"> </w:t>
      </w:r>
      <w:r>
        <w:rPr>
          <w:iCs/>
          <w:i/>
        </w:rPr>
        <w:t xml:space="preserve">broom</w:t>
      </w:r>
      <w:r>
        <w:t xml:space="preserve"> </w:t>
      </w:r>
      <w:r>
        <w:t xml:space="preserve">(Version 0.7.9.9000;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1.4.2;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icons</w:t>
      </w:r>
      <w:r>
        <w:t xml:space="preserve"> </w:t>
      </w:r>
      <w:r>
        <w:t xml:space="preserve">(Version 0.2.0; O’Hara-Wild, 2021)</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Allen et al., 2021)</w:t>
      </w:r>
      <w:r>
        <w:t xml:space="preserve">,</w:t>
      </w:r>
      <w:r>
        <w:t xml:space="preserve"> </w:t>
      </w:r>
      <w:r>
        <w:rPr>
          <w:iCs/>
          <w:i/>
        </w:rPr>
        <w:t xml:space="preserve">readr</w:t>
      </w:r>
      <w:r>
        <w:t xml:space="preserve"> </w:t>
      </w:r>
      <w:r>
        <w:t xml:space="preserve">(Version 1.4.0; Wickham &amp; Hester, 2020)</w:t>
      </w:r>
      <w:r>
        <w:t xml:space="preserve">,</w:t>
      </w:r>
      <w:r>
        <w:t xml:space="preserve"> </w:t>
      </w:r>
      <w:r>
        <w:rPr>
          <w:iCs/>
          <w:i/>
        </w:rPr>
        <w:t xml:space="preserve">rmarkdown</w:t>
      </w:r>
      <w:r>
        <w:t xml:space="preserve"> </w:t>
      </w:r>
      <w:r>
        <w:t xml:space="preserve">(Version 2.11; Xie, Allaire, &amp; Grolemund, 2018; Xie, Dervieux, &amp; Riederer, 2020)</w:t>
      </w:r>
      <w:r>
        <w:t xml:space="preserve">,</w:t>
      </w:r>
      <w:r>
        <w:t xml:space="preserve"> </w:t>
      </w:r>
      <w:r>
        <w:rPr>
          <w:iCs/>
          <w:i/>
        </w:rPr>
        <w:t xml:space="preserve">rsvg</w:t>
      </w:r>
      <w:r>
        <w:t xml:space="preserve"> </w:t>
      </w:r>
      <w:r>
        <w:t xml:space="preserve">(Version 2.1.2; Ooms, 2021)</w:t>
      </w:r>
      <w:r>
        <w:t xml:space="preserve">, and</w:t>
      </w:r>
      <w:r>
        <w:t xml:space="preserve"> </w:t>
      </w:r>
      <w:r>
        <w:rPr>
          <w:iCs/>
          <w:i/>
        </w:rPr>
        <w:t xml:space="preserve">tinylabels</w:t>
      </w:r>
      <w:r>
        <w:t xml:space="preserve"> </w:t>
      </w:r>
      <w:r>
        <w:t xml:space="preserve">(Version 0.2.1; Barth, 2021)</w:t>
      </w:r>
      <w:r>
        <w:t xml:space="preserve">.</w:t>
      </w:r>
    </w:p>
    <w:bookmarkEnd w:id="30"/>
    <w:bookmarkStart w:id="31" w:name="disclosure-statement"/>
    <w:p>
      <w:pPr>
        <w:pStyle w:val="berschrift2"/>
      </w:pPr>
      <w:r>
        <w:t xml:space="preserve">Disclosure statement</w:t>
      </w:r>
    </w:p>
    <w:p>
      <w:pPr>
        <w:pStyle w:val="FirstParagraph"/>
      </w:pPr>
      <w:r>
        <w:t xml:space="preserve">There are no relevant financial or non-financial competing interests to report.</w:t>
      </w:r>
    </w:p>
    <w:bookmarkEnd w:id="31"/>
    <w:bookmarkStart w:id="32"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2"/>
    <w:bookmarkEnd w:id="33"/>
    <w:bookmarkStart w:id="95" w:name="references"/>
    <w:p>
      <w:pPr>
        <w:pStyle w:val="berschrift1"/>
      </w:pPr>
      <w:r>
        <w:t xml:space="preserve">References</w:t>
      </w:r>
    </w:p>
    <w:bookmarkStart w:id="94" w:name="refs"/>
    <w:bookmarkStart w:id="35" w:name="ref-aczel2020"/>
    <w:p>
      <w:pPr>
        <w:pStyle w:val="Literaturverzeichnis"/>
      </w:pPr>
      <w:r>
        <w:t xml:space="preserve">Aczel, B., Hoekstra, R., Gelman, A., Wagenmakers, E.-J., Klugkist, I. G., Rouder, J. N., … van Ravenzwaaij, D. (2020). Discussion points for</w:t>
      </w:r>
      <w:r>
        <w:t xml:space="preserve"> </w:t>
      </w:r>
      <w:r>
        <w:t xml:space="preserve">Bayesian</w:t>
      </w:r>
      <w:r>
        <w:t xml:space="preserve"> </w:t>
      </w:r>
      <w:r>
        <w:t xml:space="preserve">inference.</w:t>
      </w:r>
      <w:r>
        <w:t xml:space="preserve"> </w:t>
      </w:r>
      <w:r>
        <w:rPr>
          <w:iCs/>
          <w:i/>
        </w:rPr>
        <w:t xml:space="preserve">Nature Human Behaviour</w:t>
      </w:r>
      <w:r>
        <w:t xml:space="preserve">,</w:t>
      </w:r>
      <w:r>
        <w:t xml:space="preserve"> </w:t>
      </w:r>
      <w:r>
        <w:rPr>
          <w:iCs/>
          <w:i/>
        </w:rPr>
        <w:t xml:space="preserve">4</w:t>
      </w:r>
      <w:r>
        <w:t xml:space="preserve">(6), 561–563.</w:t>
      </w:r>
      <w:r>
        <w:t xml:space="preserve"> </w:t>
      </w:r>
      <w:hyperlink r:id="rId34">
        <w:r>
          <w:rPr>
            <w:rStyle w:val="Hyperlink"/>
          </w:rPr>
          <w:t xml:space="preserve">https://doi.org/10.1038/s41562-019-0807-z</w:t>
        </w:r>
      </w:hyperlink>
    </w:p>
    <w:bookmarkEnd w:id="35"/>
    <w:bookmarkStart w:id="37" w:name="ref-aczel2021"/>
    <w:p>
      <w:pPr>
        <w:pStyle w:val="Literaturverzeichnis"/>
      </w:pPr>
      <w:r>
        <w:t xml:space="preserve">Aczel, B., Szaszi, B., Nilsonne, G., Akker, O. van den, Albers, C., Assen, M. A. L. M. van, … Wagenmakers, E.-J. (2021).</w:t>
      </w:r>
      <w:r>
        <w:t xml:space="preserve"> </w:t>
      </w:r>
      <w:r>
        <w:rPr>
          <w:iCs/>
          <w:i/>
        </w:rPr>
        <w:t xml:space="preserve">Guidance for conducting and reporting multi-analyst studies</w:t>
      </w:r>
      <w:r>
        <w:t xml:space="preserve">.</w:t>
      </w:r>
      <w:r>
        <w:t xml:space="preserve"> </w:t>
      </w:r>
      <w:r>
        <w:t xml:space="preserve">MetaArXiv</w:t>
      </w:r>
      <w:r>
        <w:t xml:space="preserve">.</w:t>
      </w:r>
      <w:r>
        <w:t xml:space="preserve"> </w:t>
      </w:r>
      <w:hyperlink r:id="rId36">
        <w:r>
          <w:rPr>
            <w:rStyle w:val="Hyperlink"/>
          </w:rPr>
          <w:t xml:space="preserve">https://doi.org/10.31222/osf.io/5ecnh</w:t>
        </w:r>
      </w:hyperlink>
    </w:p>
    <w:bookmarkEnd w:id="37"/>
    <w:bookmarkStart w:id="39" w:name="ref-R-raincloudplots"/>
    <w:p>
      <w:pPr>
        <w:pStyle w:val="Literaturverzeichnis"/>
      </w:pPr>
      <w:r>
        <w:t xml:space="preserve"> </w:t>
      </w:r>
      <w:r>
        <w:t xml:space="preserve">Allen et al. (2021).</w:t>
      </w:r>
      <w:r>
        <w:t xml:space="preserve"> </w:t>
      </w:r>
      <w:r>
        <w:rPr>
          <w:iCs/>
          <w:i/>
        </w:rPr>
        <w:t xml:space="preserve">Raincloudplots: The easy way to create raincloud plots</w:t>
      </w:r>
      <w:r>
        <w:t xml:space="preserve">. Retrieved from</w:t>
      </w:r>
      <w:r>
        <w:t xml:space="preserve"> </w:t>
      </w:r>
      <w:hyperlink r:id="rId38">
        <w:r>
          <w:rPr>
            <w:rStyle w:val="Hyperlink"/>
          </w:rPr>
          <w:t xml:space="preserve">https://github.com/jorvlan/raincloudplots</w:t>
        </w:r>
      </w:hyperlink>
    </w:p>
    <w:bookmarkEnd w:id="39"/>
    <w:bookmarkStart w:id="41" w:name="ref-arbon2019"/>
    <w:p>
      <w:pPr>
        <w:pStyle w:val="Literaturverzeichnis"/>
      </w:pPr>
      <w:r>
        <w:t xml:space="preserve">Arbon, R., Drax, K., Thurlby, N., Timpson, N. J., Northstone, K., Brown, K. R., … Munafo, M. (2019).</w:t>
      </w:r>
      <w:r>
        <w:t xml:space="preserve"> </w:t>
      </w:r>
      <w:r>
        <w:rPr>
          <w:iCs/>
          <w:i/>
        </w:rPr>
        <w:t xml:space="preserve">MAPS</w:t>
      </w:r>
      <w:r>
        <w:rPr>
          <w:iCs/>
          <w:i/>
        </w:rPr>
        <w:t xml:space="preserve">: Mapping the</w:t>
      </w:r>
      <w:r>
        <w:rPr>
          <w:iCs/>
          <w:i/>
        </w:rPr>
        <w:t xml:space="preserve"> </w:t>
      </w:r>
      <w:r>
        <w:rPr>
          <w:iCs/>
          <w:i/>
        </w:rPr>
        <w:t xml:space="preserve">Analytical Paths</w:t>
      </w:r>
      <w:r>
        <w:rPr>
          <w:iCs/>
          <w:i/>
        </w:rPr>
        <w:t xml:space="preserve"> </w:t>
      </w:r>
      <w:r>
        <w:rPr>
          <w:iCs/>
          <w:i/>
        </w:rPr>
        <w:t xml:space="preserve">of a</w:t>
      </w:r>
      <w:r>
        <w:rPr>
          <w:iCs/>
          <w:i/>
        </w:rPr>
        <w:t xml:space="preserve"> </w:t>
      </w:r>
      <w:r>
        <w:rPr>
          <w:iCs/>
          <w:i/>
        </w:rPr>
        <w:t xml:space="preserve">Crowdsourced Data Analysis</w:t>
      </w:r>
      <w:r>
        <w:t xml:space="preserve">.</w:t>
      </w:r>
      <w:r>
        <w:t xml:space="preserve"> </w:t>
      </w:r>
      <w:hyperlink r:id="rId40">
        <w:r>
          <w:rPr>
            <w:rStyle w:val="Hyperlink"/>
          </w:rPr>
          <w:t xml:space="preserve">https://doi.org/10.17605/OSF.IO/7VQ3B</w:t>
        </w:r>
      </w:hyperlink>
    </w:p>
    <w:bookmarkEnd w:id="41"/>
    <w:bookmarkStart w:id="43" w:name="ref-auspurg2021"/>
    <w:p>
      <w:pPr>
        <w:pStyle w:val="Literaturverzeichnis"/>
      </w:pPr>
      <w:r>
        <w:t xml:space="preserve">Auspurg, K., &amp; Brüderl, J. (2021). Has the</w:t>
      </w:r>
      <w:r>
        <w:t xml:space="preserve"> </w:t>
      </w:r>
      <w:r>
        <w:t xml:space="preserve">Credibility</w:t>
      </w:r>
      <w:r>
        <w:t xml:space="preserve"> </w:t>
      </w:r>
      <w:r>
        <w:t xml:space="preserve">of the</w:t>
      </w:r>
      <w:r>
        <w:t xml:space="preserve"> </w:t>
      </w:r>
      <w:r>
        <w:t xml:space="preserve">Social Sciences Been Credibly Destroyed</w:t>
      </w:r>
      <w:r>
        <w:t xml:space="preserve">? Reanalyzing the</w:t>
      </w:r>
      <w:r>
        <w:t xml:space="preserve"> </w:t>
      </w:r>
      <w:r>
        <w:t xml:space="preserve">“</w:t>
      </w:r>
      <w:r>
        <w:t xml:space="preserve">Many Analysts</w:t>
      </w:r>
      <w:r>
        <w:t xml:space="preserve">,</w:t>
      </w:r>
      <w:r>
        <w:t xml:space="preserve"> </w:t>
      </w:r>
      <w:r>
        <w:t xml:space="preserve">One Data Set</w:t>
      </w:r>
      <w:r>
        <w:t xml:space="preserve">”</w:t>
      </w:r>
      <w:r>
        <w:t xml:space="preserve"> </w:t>
      </w:r>
      <w:r>
        <w:t xml:space="preserve">Project</w:t>
      </w:r>
      <w:r>
        <w:t xml:space="preserve">.</w:t>
      </w:r>
      <w:r>
        <w:t xml:space="preserve"> </w:t>
      </w:r>
      <w:r>
        <w:rPr>
          <w:iCs/>
          <w:i/>
        </w:rPr>
        <w:t xml:space="preserve">Socius</w:t>
      </w:r>
      <w:r>
        <w:t xml:space="preserve">,</w:t>
      </w:r>
      <w:r>
        <w:t xml:space="preserve"> </w:t>
      </w:r>
      <w:r>
        <w:rPr>
          <w:iCs/>
          <w:i/>
        </w:rPr>
        <w:t xml:space="preserve">7</w:t>
      </w:r>
      <w:r>
        <w:t xml:space="preserve">, 1–14.</w:t>
      </w:r>
      <w:r>
        <w:t xml:space="preserve"> </w:t>
      </w:r>
      <w:hyperlink r:id="rId42">
        <w:r>
          <w:rPr>
            <w:rStyle w:val="Hyperlink"/>
          </w:rPr>
          <w:t xml:space="preserve">https://doi.org/10.1177/23780231211024421</w:t>
        </w:r>
      </w:hyperlink>
    </w:p>
    <w:bookmarkEnd w:id="43"/>
    <w:bookmarkStart w:id="45"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44">
        <w:r>
          <w:rPr>
            <w:rStyle w:val="Hyperlink"/>
          </w:rPr>
          <w:t xml:space="preserve">https://github.com/crsh/papaja</w:t>
        </w:r>
      </w:hyperlink>
    </w:p>
    <w:bookmarkEnd w:id="45"/>
    <w:bookmarkStart w:id="47"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46">
        <w:r>
          <w:rPr>
            <w:rStyle w:val="Hyperlink"/>
          </w:rPr>
          <w:t xml:space="preserve">https://github.com/mariusbarth/tinylabels</w:t>
        </w:r>
      </w:hyperlink>
    </w:p>
    <w:bookmarkEnd w:id="47"/>
    <w:bookmarkStart w:id="49" w:name="ref-breznau2021a"/>
    <w:p>
      <w:pPr>
        <w:pStyle w:val="Literaturverzeichnis"/>
      </w:pPr>
      <w:r>
        <w:t xml:space="preserve">Breznau, N. (2021). I</w:t>
      </w:r>
      <w:r>
        <w:t xml:space="preserve"> </w:t>
      </w:r>
      <w:r>
        <w:t xml:space="preserve">Saw You</w:t>
      </w:r>
      <w:r>
        <w:t xml:space="preserve"> </w:t>
      </w:r>
      <w:r>
        <w:t xml:space="preserve">in the</w:t>
      </w:r>
      <w:r>
        <w:t xml:space="preserve"> </w:t>
      </w:r>
      <w:r>
        <w:t xml:space="preserve">Crowd</w:t>
      </w:r>
      <w:r>
        <w:t xml:space="preserve">: Credibility,</w:t>
      </w:r>
      <w:r>
        <w:t xml:space="preserve"> </w:t>
      </w:r>
      <w:r>
        <w:t xml:space="preserve">Reproducibility</w:t>
      </w:r>
      <w:r>
        <w:t xml:space="preserve">, and</w:t>
      </w:r>
      <w:r>
        <w:t xml:space="preserve"> </w:t>
      </w:r>
      <w:r>
        <w:t xml:space="preserve">Meta</w:t>
      </w:r>
      <w:r>
        <w:t xml:space="preserve">-</w:t>
      </w:r>
      <w:r>
        <w:t xml:space="preserve">Utility</w:t>
      </w:r>
      <w:r>
        <w:t xml:space="preserve">.</w:t>
      </w:r>
      <w:r>
        <w:t xml:space="preserve"> </w:t>
      </w:r>
      <w:r>
        <w:rPr>
          <w:iCs/>
          <w:i/>
        </w:rPr>
        <w:t xml:space="preserve">PS: Political Science &amp; Politics</w:t>
      </w:r>
      <w:r>
        <w:t xml:space="preserve">,</w:t>
      </w:r>
      <w:r>
        <w:t xml:space="preserve"> </w:t>
      </w:r>
      <w:r>
        <w:rPr>
          <w:iCs/>
          <w:i/>
        </w:rPr>
        <w:t xml:space="preserve">54</w:t>
      </w:r>
      <w:r>
        <w:t xml:space="preserve">(2), 309–313.</w:t>
      </w:r>
      <w:r>
        <w:t xml:space="preserve"> </w:t>
      </w:r>
      <w:hyperlink r:id="rId48">
        <w:r>
          <w:rPr>
            <w:rStyle w:val="Hyperlink"/>
          </w:rPr>
          <w:t xml:space="preserve">https://doi.org/10.1017/S1049096520000980</w:t>
        </w:r>
      </w:hyperlink>
    </w:p>
    <w:bookmarkEnd w:id="49"/>
    <w:bookmarkStart w:id="51" w:name="ref-breznau2021"/>
    <w:p>
      <w:pPr>
        <w:pStyle w:val="Literaturverzeichnis"/>
      </w:pPr>
      <w:r>
        <w:t xml:space="preserve">Breznau, N., Rinke, E. M., Wuttke, A., Adem, M., Adriaans, J., Alvarez-Benjumea, A., … Nguyen, H. H. V. (2021).</w:t>
      </w:r>
      <w:r>
        <w:t xml:space="preserve"> </w:t>
      </w:r>
      <w:r>
        <w:rPr>
          <w:iCs/>
          <w:i/>
        </w:rPr>
        <w:t xml:space="preserve">Observing</w:t>
      </w:r>
      <w:r>
        <w:rPr>
          <w:iCs/>
          <w:i/>
        </w:rPr>
        <w:t xml:space="preserve"> </w:t>
      </w:r>
      <w:r>
        <w:rPr>
          <w:iCs/>
          <w:i/>
        </w:rPr>
        <w:t xml:space="preserve">Many Researchers Using</w:t>
      </w:r>
      <w:r>
        <w:rPr>
          <w:iCs/>
          <w:i/>
        </w:rPr>
        <w:t xml:space="preserve"> </w:t>
      </w:r>
      <w:r>
        <w:rPr>
          <w:iCs/>
          <w:i/>
        </w:rPr>
        <w:t xml:space="preserve">the</w:t>
      </w:r>
      <w:r>
        <w:rPr>
          <w:iCs/>
          <w:i/>
        </w:rPr>
        <w:t xml:space="preserve"> </w:t>
      </w:r>
      <w:r>
        <w:rPr>
          <w:iCs/>
          <w:i/>
        </w:rPr>
        <w:t xml:space="preserve">Same Data</w:t>
      </w:r>
      <w:r>
        <w:rPr>
          <w:iCs/>
          <w:i/>
        </w:rPr>
        <w:t xml:space="preserve"> </w:t>
      </w:r>
      <w:r>
        <w:rPr>
          <w:iCs/>
          <w:i/>
        </w:rPr>
        <w:t xml:space="preserve">and</w:t>
      </w:r>
      <w:r>
        <w:rPr>
          <w:iCs/>
          <w:i/>
        </w:rPr>
        <w:t xml:space="preserve"> </w:t>
      </w:r>
      <w:r>
        <w:rPr>
          <w:iCs/>
          <w:i/>
        </w:rPr>
        <w:t xml:space="preserve">Hypothesis Reveals</w:t>
      </w:r>
      <w:r>
        <w:rPr>
          <w:iCs/>
          <w:i/>
        </w:rPr>
        <w:t xml:space="preserve"> </w:t>
      </w:r>
      <w:r>
        <w:rPr>
          <w:iCs/>
          <w:i/>
        </w:rPr>
        <w:t xml:space="preserve">a</w:t>
      </w:r>
      <w:r>
        <w:rPr>
          <w:iCs/>
          <w:i/>
        </w:rPr>
        <w:t xml:space="preserve"> </w:t>
      </w:r>
      <w:r>
        <w:rPr>
          <w:iCs/>
          <w:i/>
        </w:rPr>
        <w:t xml:space="preserve">Hidden Universe</w:t>
      </w:r>
      <w:r>
        <w:rPr>
          <w:iCs/>
          <w:i/>
        </w:rPr>
        <w:t xml:space="preserve"> </w:t>
      </w:r>
      <w:r>
        <w:rPr>
          <w:iCs/>
          <w:i/>
        </w:rPr>
        <w:t xml:space="preserve">of</w:t>
      </w:r>
      <w:r>
        <w:rPr>
          <w:iCs/>
          <w:i/>
        </w:rPr>
        <w:t xml:space="preserve"> </w:t>
      </w:r>
      <w:r>
        <w:rPr>
          <w:iCs/>
          <w:i/>
        </w:rPr>
        <w:t xml:space="preserve">Uncertainty</w:t>
      </w:r>
      <w:r>
        <w:t xml:space="preserve">.</w:t>
      </w:r>
      <w:r>
        <w:t xml:space="preserve"> </w:t>
      </w:r>
      <w:r>
        <w:t xml:space="preserve">MetaArXiv</w:t>
      </w:r>
      <w:r>
        <w:t xml:space="preserve">.</w:t>
      </w:r>
      <w:r>
        <w:t xml:space="preserve"> </w:t>
      </w:r>
      <w:hyperlink r:id="rId50">
        <w:r>
          <w:rPr>
            <w:rStyle w:val="Hyperlink"/>
          </w:rPr>
          <w:t xml:space="preserve">https://doi.org/10.31222/osf.io/cd5j9</w:t>
        </w:r>
      </w:hyperlink>
    </w:p>
    <w:bookmarkEnd w:id="51"/>
    <w:bookmarkStart w:id="53" w:name="ref-franzoni2014"/>
    <w:p>
      <w:pPr>
        <w:pStyle w:val="Literaturverzeichnis"/>
      </w:pPr>
      <w:r>
        <w:t xml:space="preserve">Franzoni, C., &amp; Sauermann, H. (2014). Crowd science: The organization of scientific research in open collaborative projects.</w:t>
      </w:r>
      <w:r>
        <w:t xml:space="preserve"> </w:t>
      </w:r>
      <w:r>
        <w:rPr>
          <w:iCs/>
          <w:i/>
        </w:rPr>
        <w:t xml:space="preserve">Research Policy</w:t>
      </w:r>
      <w:r>
        <w:t xml:space="preserve">,</w:t>
      </w:r>
      <w:r>
        <w:t xml:space="preserve"> </w:t>
      </w:r>
      <w:r>
        <w:rPr>
          <w:iCs/>
          <w:i/>
        </w:rPr>
        <w:t xml:space="preserve">43</w:t>
      </w:r>
      <w:r>
        <w:t xml:space="preserve">(1), 1–20.</w:t>
      </w:r>
      <w:r>
        <w:t xml:space="preserve"> </w:t>
      </w:r>
      <w:hyperlink r:id="rId52">
        <w:r>
          <w:rPr>
            <w:rStyle w:val="Hyperlink"/>
          </w:rPr>
          <w:t xml:space="preserve">https://doi.org/10.1016/j.respol.2013.07.005</w:t>
        </w:r>
      </w:hyperlink>
    </w:p>
    <w:bookmarkEnd w:id="53"/>
    <w:bookmarkStart w:id="55"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4">
        <w:r>
          <w:rPr>
            <w:rStyle w:val="Hyperlink"/>
          </w:rPr>
          <w:t xml:space="preserve">https://CRAN.R-project.org/package=purrr</w:t>
        </w:r>
      </w:hyperlink>
    </w:p>
    <w:bookmarkEnd w:id="55"/>
    <w:bookmarkStart w:id="57"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56">
        <w:r>
          <w:rPr>
            <w:rStyle w:val="Hyperlink"/>
          </w:rPr>
          <w:t xml:space="preserve">https://CRAN.R-project.org/package=glue</w:t>
        </w:r>
      </w:hyperlink>
    </w:p>
    <w:bookmarkEnd w:id="57"/>
    <w:bookmarkStart w:id="59" w:name="ref-hornsey2017"/>
    <w:p>
      <w:pPr>
        <w:pStyle w:val="Literaturverzeichnis"/>
      </w:pPr>
      <w:r>
        <w:t xml:space="preserve">Hornsey, M. J., &amp; Fielding, K. S. (2017). Attitude roots and</w:t>
      </w:r>
      <w:r>
        <w:t xml:space="preserve"> </w:t>
      </w:r>
      <w:r>
        <w:t xml:space="preserve">Jiu Jitsu</w:t>
      </w:r>
      <w:r>
        <w:t xml:space="preserve"> </w:t>
      </w:r>
      <w:r>
        <w:t xml:space="preserve">persuasion: Understanding 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58">
        <w:r>
          <w:rPr>
            <w:rStyle w:val="Hyperlink"/>
          </w:rPr>
          <w:t xml:space="preserve">https://doi.org/10.1037/a0040437</w:t>
        </w:r>
      </w:hyperlink>
    </w:p>
    <w:bookmarkEnd w:id="59"/>
    <w:bookmarkStart w:id="61" w:name="ref-jick1979"/>
    <w:p>
      <w:pPr>
        <w:pStyle w:val="Literaturverzeichnis"/>
      </w:pPr>
      <w:r>
        <w:t xml:space="preserve">Jick, T. D. (1979). Mixing</w:t>
      </w:r>
      <w:r>
        <w:t xml:space="preserve"> </w:t>
      </w:r>
      <w:r>
        <w:t xml:space="preserve">Qualitative</w:t>
      </w:r>
      <w:r>
        <w:t xml:space="preserve"> </w:t>
      </w:r>
      <w:r>
        <w:t xml:space="preserve">and</w:t>
      </w:r>
      <w:r>
        <w:t xml:space="preserve"> </w:t>
      </w:r>
      <w:r>
        <w:t xml:space="preserve">Quantitative Methods</w:t>
      </w:r>
      <w:r>
        <w:t xml:space="preserve">: Triangulation in</w:t>
      </w:r>
      <w:r>
        <w:t xml:space="preserve"> </w:t>
      </w:r>
      <w:r>
        <w:t xml:space="preserve">Action</w:t>
      </w:r>
      <w:r>
        <w:t xml:space="preserve">.</w:t>
      </w:r>
      <w:r>
        <w:t xml:space="preserve"> </w:t>
      </w:r>
      <w:r>
        <w:rPr>
          <w:iCs/>
          <w:i/>
        </w:rPr>
        <w:t xml:space="preserve">Administrative Science Quarterly</w:t>
      </w:r>
      <w:r>
        <w:t xml:space="preserve">,</w:t>
      </w:r>
      <w:r>
        <w:t xml:space="preserve"> </w:t>
      </w:r>
      <w:r>
        <w:rPr>
          <w:iCs/>
          <w:i/>
        </w:rPr>
        <w:t xml:space="preserve">24</w:t>
      </w:r>
      <w:r>
        <w:t xml:space="preserve">(4), 602–611.</w:t>
      </w:r>
      <w:r>
        <w:t xml:space="preserve"> </w:t>
      </w:r>
      <w:hyperlink r:id="rId60">
        <w:r>
          <w:rPr>
            <w:rStyle w:val="Hyperlink"/>
          </w:rPr>
          <w:t xml:space="preserve">https://doi.org/10.2307/2392366</w:t>
        </w:r>
      </w:hyperlink>
    </w:p>
    <w:bookmarkEnd w:id="61"/>
    <w:bookmarkStart w:id="63" w:name="ref-munoz2018"/>
    <w:p>
      <w:pPr>
        <w:pStyle w:val="Literaturverzeichnis"/>
      </w:pPr>
      <w:r>
        <w:t xml:space="preserve">Muñoz, J., &amp; Young, C. (2018). We</w:t>
      </w:r>
      <w:r>
        <w:t xml:space="preserve"> </w:t>
      </w:r>
      <w:r>
        <w:t xml:space="preserve">Ran</w:t>
      </w:r>
      <w:r>
        <w:t xml:space="preserve"> </w:t>
      </w:r>
      <w:r>
        <w:t xml:space="preserve">9</w:t>
      </w:r>
      <w:r>
        <w:t xml:space="preserve"> </w:t>
      </w:r>
      <w:r>
        <w:t xml:space="preserve">Billion Regressions</w:t>
      </w:r>
      <w:r>
        <w:t xml:space="preserve">: Eliminating</w:t>
      </w:r>
      <w:r>
        <w:t xml:space="preserve"> </w:t>
      </w:r>
      <w:r>
        <w:t xml:space="preserve">False Positives</w:t>
      </w:r>
      <w:r>
        <w:t xml:space="preserve"> </w:t>
      </w:r>
      <w:r>
        <w:t xml:space="preserve">through</w:t>
      </w:r>
      <w:r>
        <w:t xml:space="preserve"> </w:t>
      </w:r>
      <w:r>
        <w:t xml:space="preserve">Computational Model Robustness</w:t>
      </w:r>
      <w:r>
        <w:t xml:space="preserve">.</w:t>
      </w:r>
      <w:r>
        <w:t xml:space="preserve"> </w:t>
      </w:r>
      <w:r>
        <w:rPr>
          <w:iCs/>
          <w:i/>
        </w:rPr>
        <w:t xml:space="preserve">Sociological Methodology</w:t>
      </w:r>
      <w:r>
        <w:t xml:space="preserve">,</w:t>
      </w:r>
      <w:r>
        <w:t xml:space="preserve"> </w:t>
      </w:r>
      <w:r>
        <w:rPr>
          <w:iCs/>
          <w:i/>
        </w:rPr>
        <w:t xml:space="preserve">48</w:t>
      </w:r>
      <w:r>
        <w:t xml:space="preserve">(1), 1–33.</w:t>
      </w:r>
      <w:r>
        <w:t xml:space="preserve"> </w:t>
      </w:r>
      <w:hyperlink r:id="rId62">
        <w:r>
          <w:rPr>
            <w:rStyle w:val="Hyperlink"/>
          </w:rPr>
          <w:t xml:space="preserve">https://doi.org/10.1177/0081175018777988</w:t>
        </w:r>
      </w:hyperlink>
    </w:p>
    <w:bookmarkEnd w:id="63"/>
    <w:bookmarkStart w:id="65"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64">
        <w:r>
          <w:rPr>
            <w:rStyle w:val="Hyperlink"/>
          </w:rPr>
          <w:t xml:space="preserve">https://CRAN.R-project.org/package=here</w:t>
        </w:r>
      </w:hyperlink>
    </w:p>
    <w:bookmarkEnd w:id="65"/>
    <w:bookmarkStart w:id="66" w:name="ref-R-icons"/>
    <w:p>
      <w:pPr>
        <w:pStyle w:val="Literaturverzeichnis"/>
      </w:pPr>
      <w:r>
        <w:t xml:space="preserve">O’Hara-Wild, M. (2021).</w:t>
      </w:r>
      <w:r>
        <w:t xml:space="preserve"> </w:t>
      </w:r>
      <w:r>
        <w:rPr>
          <w:iCs/>
          <w:i/>
        </w:rPr>
        <w:t xml:space="preserve">Icons: SVG icons for r documents and apps</w:t>
      </w:r>
      <w:r>
        <w:t xml:space="preserve">.</w:t>
      </w:r>
    </w:p>
    <w:bookmarkEnd w:id="66"/>
    <w:bookmarkStart w:id="68" w:name="ref-R-rsvg"/>
    <w:p>
      <w:pPr>
        <w:pStyle w:val="Literaturverzeichnis"/>
      </w:pPr>
      <w:r>
        <w:t xml:space="preserve">Ooms, J. (2021).</w:t>
      </w:r>
      <w:r>
        <w:t xml:space="preserve"> </w:t>
      </w:r>
      <w:r>
        <w:rPr>
          <w:iCs/>
          <w:i/>
        </w:rPr>
        <w:t xml:space="preserve">Rsvg: Render SVG images into PDF, PNG, PostScript, or bitmap arrays</w:t>
      </w:r>
      <w:r>
        <w:t xml:space="preserve">. Retrieved from</w:t>
      </w:r>
      <w:r>
        <w:t xml:space="preserve"> </w:t>
      </w:r>
      <w:hyperlink r:id="rId67">
        <w:r>
          <w:rPr>
            <w:rStyle w:val="Hyperlink"/>
          </w:rPr>
          <w:t xml:space="preserve">https://CRAN.R-project.org/package=rsvg</w:t>
        </w:r>
      </w:hyperlink>
    </w:p>
    <w:bookmarkEnd w:id="68"/>
    <w:bookmarkStart w:id="70"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 A</w:t>
      </w:r>
      <w:r>
        <w:t xml:space="preserve"> </w:t>
      </w:r>
      <w:r>
        <w:t xml:space="preserve">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69">
        <w:r>
          <w:rPr>
            <w:rStyle w:val="Hyperlink"/>
          </w:rPr>
          <w:t xml:space="preserve">https://doi.org/10.1177/1745691612465253</w:t>
        </w:r>
      </w:hyperlink>
    </w:p>
    <w:bookmarkEnd w:id="70"/>
    <w:bookmarkStart w:id="72"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71">
        <w:r>
          <w:rPr>
            <w:rStyle w:val="Hyperlink"/>
          </w:rPr>
          <w:t xml:space="preserve">https://www.R-project.org/</w:t>
        </w:r>
      </w:hyperlink>
    </w:p>
    <w:bookmarkEnd w:id="72"/>
    <w:bookmarkStart w:id="73"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73"/>
    <w:bookmarkStart w:id="75" w:name="ref-silberzahn2015"/>
    <w:p>
      <w:pPr>
        <w:pStyle w:val="Literaturverzeichnis"/>
      </w:pPr>
      <w:r>
        <w:t xml:space="preserve">Silberzahn, R., &amp; Uhlmann, E. L. (2015). Crowdsourced research: Many hands make tight work.</w:t>
      </w:r>
      <w:r>
        <w:t xml:space="preserve"> </w:t>
      </w:r>
      <w:r>
        <w:rPr>
          <w:iCs/>
          <w:i/>
        </w:rPr>
        <w:t xml:space="preserve">Nature</w:t>
      </w:r>
      <w:r>
        <w:t xml:space="preserve">,</w:t>
      </w:r>
      <w:r>
        <w:t xml:space="preserve"> </w:t>
      </w:r>
      <w:r>
        <w:rPr>
          <w:iCs/>
          <w:i/>
        </w:rPr>
        <w:t xml:space="preserve">526</w:t>
      </w:r>
      <w:r>
        <w:t xml:space="preserve">(7572), 189–191.</w:t>
      </w:r>
      <w:r>
        <w:t xml:space="preserve"> </w:t>
      </w:r>
      <w:hyperlink r:id="rId74">
        <w:r>
          <w:rPr>
            <w:rStyle w:val="Hyperlink"/>
          </w:rPr>
          <w:t xml:space="preserve">https://doi.org/10.1038/526189a</w:t>
        </w:r>
      </w:hyperlink>
    </w:p>
    <w:bookmarkEnd w:id="75"/>
    <w:bookmarkStart w:id="77" w:name="ref-silberzahn2018"/>
    <w:p>
      <w:pPr>
        <w:pStyle w:val="Literaturverzeichnis"/>
      </w:pPr>
      <w:r>
        <w:t xml:space="preserve">Silberzahn, R., Uhlmann, E. L., Martin, D. P., Anselmi, P., Aust, F., Awtrey, E., … Nosek, B. A. (2018). Many</w:t>
      </w:r>
      <w:r>
        <w:t xml:space="preserve"> </w:t>
      </w:r>
      <w:r>
        <w:t xml:space="preserve">Analysts</w:t>
      </w:r>
      <w:r>
        <w:t xml:space="preserve">,</w:t>
      </w:r>
      <w:r>
        <w:t xml:space="preserve"> </w:t>
      </w:r>
      <w:r>
        <w:t xml:space="preserve">One Data Set</w:t>
      </w:r>
      <w:r>
        <w:t xml:space="preserve">: Making</w:t>
      </w:r>
      <w:r>
        <w:t xml:space="preserve"> </w:t>
      </w:r>
      <w:r>
        <w:t xml:space="preserve">Transparent How Variations</w:t>
      </w:r>
      <w:r>
        <w:t xml:space="preserve"> </w:t>
      </w:r>
      <w:r>
        <w:t xml:space="preserve">in</w:t>
      </w:r>
      <w:r>
        <w:t xml:space="preserve"> </w:t>
      </w:r>
      <w:r>
        <w:t xml:space="preserve">Analytic Choices Affect Results</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(3), 337–356.</w:t>
      </w:r>
      <w:r>
        <w:t xml:space="preserve"> </w:t>
      </w:r>
      <w:hyperlink r:id="rId76">
        <w:r>
          <w:rPr>
            <w:rStyle w:val="Hyperlink"/>
          </w:rPr>
          <w:t xml:space="preserve">https://doi.org/10.1177/2515245917747646</w:t>
        </w:r>
      </w:hyperlink>
    </w:p>
    <w:bookmarkEnd w:id="77"/>
    <w:bookmarkStart w:id="79" w:name="ref-steegen2016"/>
    <w:p>
      <w:pPr>
        <w:pStyle w:val="Literaturverzeichnis"/>
      </w:pPr>
      <w:r>
        <w:t xml:space="preserve">Steegen, S., Tuerlinckx, F., Gelman, A., &amp; Vanpaemel, W. (2016). Increasing</w:t>
      </w:r>
      <w:r>
        <w:t xml:space="preserve"> </w:t>
      </w:r>
      <w:r>
        <w:t xml:space="preserve">Transparency Through</w:t>
      </w:r>
      <w:r>
        <w:t xml:space="preserve"> </w:t>
      </w:r>
      <w:r>
        <w:t xml:space="preserve">a</w:t>
      </w:r>
      <w:r>
        <w:t xml:space="preserve"> </w:t>
      </w:r>
      <w:r>
        <w:t xml:space="preserve">Multiverse Analysis</w:t>
      </w:r>
      <w:r>
        <w:t xml:space="preserve">.</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78">
        <w:r>
          <w:rPr>
            <w:rStyle w:val="Hyperlink"/>
          </w:rPr>
          <w:t xml:space="preserve">https://doi.org/10.1177/1745691616658637</w:t>
        </w:r>
      </w:hyperlink>
    </w:p>
    <w:bookmarkEnd w:id="79"/>
    <w:bookmarkStart w:id="81" w:name="ref-turner2017"/>
    <w:p>
      <w:pPr>
        <w:pStyle w:val="Literaturverzeichnis"/>
      </w:pPr>
      <w:r>
        <w:t xml:space="preserve">Turner, S. F., Cardinal, L. B., &amp; Burton, R. M. (2017). Research</w:t>
      </w:r>
      <w:r>
        <w:t xml:space="preserve"> </w:t>
      </w:r>
      <w:r>
        <w:t xml:space="preserve">Design</w:t>
      </w:r>
      <w:r>
        <w:t xml:space="preserve"> </w:t>
      </w:r>
      <w:r>
        <w:t xml:space="preserve">for</w:t>
      </w:r>
      <w:r>
        <w:t xml:space="preserve"> </w:t>
      </w:r>
      <w:r>
        <w:t xml:space="preserve">Mixed Methods</w:t>
      </w:r>
      <w:r>
        <w:t xml:space="preserve">: A</w:t>
      </w:r>
      <w:r>
        <w:t xml:space="preserve"> </w:t>
      </w:r>
      <w:r>
        <w:t xml:space="preserve">Triangulation</w:t>
      </w:r>
      <w:r>
        <w:t xml:space="preserve">-based</w:t>
      </w:r>
      <w:r>
        <w:t xml:space="preserve"> </w:t>
      </w:r>
      <w:r>
        <w:t xml:space="preserve">Framework</w:t>
      </w:r>
      <w:r>
        <w:t xml:space="preserve"> </w:t>
      </w:r>
      <w:r>
        <w:t xml:space="preserve">and</w:t>
      </w:r>
      <w:r>
        <w:t xml:space="preserve"> </w:t>
      </w:r>
      <w:r>
        <w:t xml:space="preserve">Roadmap</w:t>
      </w:r>
      <w:r>
        <w:t xml:space="preserve">.</w:t>
      </w:r>
      <w:r>
        <w:t xml:space="preserve"> </w:t>
      </w:r>
      <w:r>
        <w:rPr>
          <w:iCs/>
          <w:i/>
        </w:rPr>
        <w:t xml:space="preserve">Organizational Research Methods</w:t>
      </w:r>
      <w:r>
        <w:t xml:space="preserve">,</w:t>
      </w:r>
      <w:r>
        <w:t xml:space="preserve"> </w:t>
      </w:r>
      <w:r>
        <w:rPr>
          <w:iCs/>
          <w:i/>
        </w:rPr>
        <w:t xml:space="preserve">20</w:t>
      </w:r>
      <w:r>
        <w:t xml:space="preserve">(2), 243–267.</w:t>
      </w:r>
      <w:r>
        <w:t xml:space="preserve"> </w:t>
      </w:r>
      <w:hyperlink r:id="rId80">
        <w:r>
          <w:rPr>
            <w:rStyle w:val="Hyperlink"/>
          </w:rPr>
          <w:t xml:space="preserve">https://doi.org/10.1177/1094428115610808</w:t>
        </w:r>
      </w:hyperlink>
    </w:p>
    <w:bookmarkEnd w:id="81"/>
    <w:bookmarkStart w:id="83"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 Crowdsourcing</w:t>
      </w:r>
      <w:r>
        <w:t xml:space="preserve"> </w:t>
      </w:r>
      <w:r>
        <w:t xml:space="preserve">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82">
        <w:r>
          <w:rPr>
            <w:rStyle w:val="Hyperlink"/>
          </w:rPr>
          <w:t xml:space="preserve">https://doi.org/10.1177/1745691619850561</w:t>
        </w:r>
      </w:hyperlink>
    </w:p>
    <w:bookmarkEnd w:id="83"/>
    <w:bookmarkStart w:id="85"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84">
        <w:r>
          <w:rPr>
            <w:rStyle w:val="Hyperlink"/>
          </w:rPr>
          <w:t xml:space="preserve">https://ggplot2.tidyverse.org</w:t>
        </w:r>
      </w:hyperlink>
    </w:p>
    <w:bookmarkEnd w:id="85"/>
    <w:bookmarkStart w:id="87"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86">
        <w:r>
          <w:rPr>
            <w:rStyle w:val="Hyperlink"/>
          </w:rPr>
          <w:t xml:space="preserve">https://CRAN.R-project.org/package=dplyr</w:t>
        </w:r>
      </w:hyperlink>
    </w:p>
    <w:bookmarkEnd w:id="87"/>
    <w:bookmarkStart w:id="89"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88">
        <w:r>
          <w:rPr>
            <w:rStyle w:val="Hyperlink"/>
          </w:rPr>
          <w:t xml:space="preserve">https://CRAN.R-project.org/package=readr</w:t>
        </w:r>
      </w:hyperlink>
    </w:p>
    <w:bookmarkEnd w:id="89"/>
    <w:bookmarkStart w:id="91"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90">
        <w:r>
          <w:rPr>
            <w:rStyle w:val="Hyperlink"/>
          </w:rPr>
          <w:t xml:space="preserve">https://bookdown.org/yihui/rmarkdown</w:t>
        </w:r>
      </w:hyperlink>
    </w:p>
    <w:bookmarkEnd w:id="91"/>
    <w:bookmarkStart w:id="93"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92">
        <w:r>
          <w:rPr>
            <w:rStyle w:val="Hyperlink"/>
          </w:rPr>
          <w:t xml:space="preserve">https://bookdown.org/yihui/rmarkdown-cookbook</w:t>
        </w:r>
      </w:hyperlink>
    </w:p>
    <w:bookmarkEnd w:id="93"/>
    <w:bookmarkEnd w:id="94"/>
    <w:p>
      <w:r>
        <w:br w:type="page"/>
      </w:r>
    </w:p>
    <w:bookmarkEnd w:id="95"/>
    <w:bookmarkStart w:id="109" w:name="tables"/>
    <w:p>
      <w:pPr>
        <w:pStyle w:val="berschrift1"/>
      </w:pPr>
      <w:r>
        <w:t xml:space="preserve">Tables</w:t>
      </w:r>
    </w:p>
    <w:bookmarkStart w:id="96" w:name="table-1"/>
    <w:p>
      <w:pPr>
        <w:pStyle w:val="berschrift2"/>
      </w:pPr>
      <w:r>
        <w:t xml:space="preserve">Table 1</w:t>
      </w:r>
    </w:p>
    <w:bookmarkEnd w:id="96"/>
    <w:bookmarkStart w:id="97" w:name="X6e1ff75dbb55b570977d470923ee93666c6462a"/>
    <w:p>
      <w:pPr>
        <w:pStyle w:val="berschrift2"/>
      </w:pPr>
      <w:r>
        <w:rPr>
          <w:iCs/>
          <w:i/>
        </w:rPr>
        <w:t xml:space="preserve">Proposed credibility- and confidence-related benefits of crowdsourced data analysis</w:t>
      </w:r>
    </w:p>
    <w:tbl>
      <w:tblPr>
        <w:tblStyle w:val="Table"/>
        <w:tblW w:type="pct" w:w="5000.0"/>
        <w:tblLook w:firstRow="1" w:lastRow="0" w:firstColumn="0" w:lastColumn="0" w:noHBand="0" w:noVBand="0" w:val="0020"/>
      </w:tblPr>
      <w:tblGrid>
        <w:gridCol w:w="3960"/>
        <w:gridCol w:w="3960"/>
      </w:tblGrid>
      <w:tr>
        <w:tc>
          <w:p>
            <w:pPr>
              <w:pStyle w:val="Compact"/>
              <w:jc w:val="left"/>
            </w:pPr>
            <w:r>
              <w:t xml:space="preserve">Citation</w:t>
            </w:r>
          </w:p>
        </w:tc>
        <w:tc>
          <w:p>
            <w:pPr>
              <w:pStyle w:val="Compact"/>
              <w:jc w:val="left"/>
            </w:pPr>
            <w:r>
              <w:t xml:space="preserve">Description of credibility- or confidence-related benefits</w:t>
            </w:r>
          </w:p>
        </w:tc>
      </w:tr>
      <w:tr>
        <w:tc>
          <w:p>
            <w:pPr>
              <w:pStyle w:val="Compact"/>
              <w:jc w:val="left"/>
            </w:pPr>
            <w:r>
              <w:t xml:space="preserve">(Aczel et al., 2021, pp. 3–4)</w:t>
            </w:r>
          </w:p>
        </w:tc>
        <w:tc>
          <w:p>
            <w:pPr>
              <w:pStyle w:val="Compact"/>
              <w:jc w:val="left"/>
            </w:pPr>
            <w:r>
              <w:t xml:space="preserve">“</w:t>
            </w:r>
            <w:r>
              <w:t xml:space="preserve">When the results of independent data analyses converge, more confidence in the conclusions is warranted. When the results diverge, confidence appropriately falters, and scientists can examine the reasons for these discrepancies.</w:t>
            </w:r>
            <w:r>
              <w:t xml:space="preserve">”</w:t>
            </w:r>
          </w:p>
        </w:tc>
      </w:tr>
      <w:tr>
        <w:tc>
          <w:p>
            <w:pPr>
              <w:pStyle w:val="Compact"/>
              <w:jc w:val="left"/>
            </w:pPr>
            <w:r>
              <w:t xml:space="preserve">(Arbon et al., 2019)</w:t>
            </w:r>
          </w:p>
        </w:tc>
        <w:tc>
          <w:p>
            <w:pPr>
              <w:pStyle w:val="Compact"/>
              <w:jc w:val="left"/>
            </w:pPr>
            <w:r>
              <w:t xml:space="preserve">“</w:t>
            </w:r>
            <w:r>
              <w:t xml:space="preserve">For the public to have faith in the conclusions of scientists it is important that the methods they employ are robust and transparent. This study will examine robustness by recruiting teams of independent data analysts and looking at how they answer a controversial research question using the same data, effectively</w:t>
            </w:r>
            <w:r>
              <w:t xml:space="preserve"> </w:t>
            </w:r>
            <w:r>
              <w:t xml:space="preserve">‘</w:t>
            </w:r>
            <w:r>
              <w:t xml:space="preserve">crowd-sourcing</w:t>
            </w:r>
            <w:r>
              <w:t xml:space="preserve">’</w:t>
            </w:r>
            <w:r>
              <w:t xml:space="preserve"> </w:t>
            </w:r>
            <w:r>
              <w:t xml:space="preserve">the data analysis.</w:t>
            </w:r>
            <w:r>
              <w:t xml:space="preserve">”</w:t>
            </w:r>
          </w:p>
        </w:tc>
      </w:tr>
      <w:tr>
        <w:tc>
          <w:p>
            <w:pPr>
              <w:pStyle w:val="Compact"/>
              <w:jc w:val="left"/>
            </w:pPr>
            <w:r>
              <w:t xml:space="preserve">(Auspurg &amp; Brüderl, 2021, pp. 1, 10)</w:t>
            </w:r>
          </w:p>
        </w:tc>
        <w:tc>
          <w:p>
            <w:pPr>
              <w:pStyle w:val="Compact"/>
              <w:jc w:val="left"/>
            </w:pPr>
            <w:r>
              <w:t xml:space="preserve">“</w:t>
            </w:r>
            <w:r>
              <w:t xml:space="preserve">Several researchers analyze the same research question with the same data (…) Science is credible if different researchers come up with a similar answer</w:t>
            </w:r>
            <w:r>
              <w:t xml:space="preserve">”</w:t>
            </w:r>
          </w:p>
        </w:tc>
      </w:tr>
      <w:tr>
        <w:tc>
          <w:p>
            <w:pPr>
              <w:pStyle w:val="Compact"/>
              <w:jc w:val="left"/>
            </w:pPr>
            <w:r>
              <w:t xml:space="preserve">(Breznau et al., 2021, p. 3)</w:t>
            </w:r>
          </w:p>
        </w:tc>
        <w:tc>
          <w:p>
            <w:pPr>
              <w:pStyle w:val="Compact"/>
              <w:jc w:val="left"/>
            </w:pPr>
            <w:r>
              <w:t xml:space="preserve">“</w:t>
            </w:r>
            <w:r>
              <w:t xml:space="preserve">Organized scientific knowledge production (…) should generate inter-researcher reliability, offering consumers of scientific findings assurance that they are not arbitrary flukes but that other researchers would generate similar findings given the same data.</w:t>
            </w:r>
            <w:r>
              <w:t xml:space="preserve">”</w:t>
            </w:r>
          </w:p>
        </w:tc>
      </w:tr>
      <w:tr>
        <w:tc>
          <w:p>
            <w:pPr>
              <w:pStyle w:val="Compact"/>
              <w:jc w:val="left"/>
            </w:pPr>
            <w:r>
              <w:t xml:space="preserve">(Breznau, 2021, p. 311)</w:t>
            </w:r>
          </w:p>
        </w:tc>
        <w:tc>
          <w:p>
            <w:pPr>
              <w:pStyle w:val="Compact"/>
              <w:jc w:val="left"/>
            </w:pPr>
            <w:r>
              <w:t xml:space="preserve">“</w:t>
            </w:r>
            <w:r>
              <w:t xml:space="preserve">crowdsourcing provides a new way to increase credibility for political and social research—in both sample populations and among the researchers themselves (…) It is hoped that these developments are tangible outcomes that increase public, private, and government views of social science.</w:t>
            </w:r>
            <w:r>
              <w:t xml:space="preserve">”</w:t>
            </w:r>
          </w:p>
        </w:tc>
      </w:tr>
      <w:tr>
        <w:tc>
          <w:p>
            <w:pPr>
              <w:pStyle w:val="Compact"/>
              <w:jc w:val="left"/>
            </w:pPr>
            <w:r>
              <w:t xml:space="preserve">(Silberzahn &amp; Uhlmann, 2015, pp. 190–191)</w:t>
            </w:r>
          </w:p>
        </w:tc>
        <w:tc>
          <w:p>
            <w:pPr>
              <w:pStyle w:val="Compact"/>
              <w:jc w:val="left"/>
            </w:pPr>
            <w:r>
              <w:t xml:space="preserve">“</w:t>
            </w:r>
            <w:r>
              <w:t xml:space="preserve">the results are more credible (…) greater certainty comes from having an independent check.</w:t>
            </w:r>
            <w:r>
              <w:t xml:space="preserve">”</w:t>
            </w:r>
          </w:p>
        </w:tc>
      </w:tr>
      <w:tr>
        <w:tc>
          <w:p>
            <w:pPr>
              <w:pStyle w:val="Compact"/>
              <w:jc w:val="left"/>
            </w:pPr>
            <w:r>
              <w:t xml:space="preserve">(Silberzahn et al., 2018, p. 352)</w:t>
            </w:r>
          </w:p>
        </w:tc>
        <w:tc>
          <w:p>
            <w:pPr>
              <w:pStyle w:val="Compact"/>
              <w:jc w:val="left"/>
            </w:pPr>
            <w:r>
              <w:t xml:space="preserve">“</w:t>
            </w:r>
            <w:r>
              <w:t xml:space="preserve">Scientists can have comparatively more faith in a finding when there is less variability in analytic approaches taken to investigating the targeted phenomenon and in results obtained using different methods. (…) In such extreme cases of little to no convergence in results, the crowdsourcing process suggests that the scientific community should have no faith that the hypothesis is true</w:t>
            </w:r>
            <w:r>
              <w:t xml:space="preserve">”</w:t>
            </w:r>
          </w:p>
        </w:tc>
      </w:tr>
      <w:tr>
        <w:tc>
          <w:p>
            <w:pPr>
              <w:pStyle w:val="Compact"/>
              <w:jc w:val="left"/>
            </w:pPr>
            <w:r>
              <w:t xml:space="preserve">(Uhlmann et al., 2019, p. 713)</w:t>
            </w:r>
          </w:p>
        </w:tc>
        <w:tc>
          <w:p>
            <w:pPr>
              <w:pStyle w:val="Compact"/>
              <w:jc w:val="left"/>
            </w:pPr>
            <w:r>
              <w:t xml:space="preserve">“</w:t>
            </w:r>
            <w:r>
              <w:t xml:space="preserve">crowdsourced teams can conduct high-powered, precise studies and draw confident conclusions. (…) Crowdsourcing research is a part of a changing landscape of science that seeks to improve research reliability and advance the credibility of academic research</w:t>
            </w:r>
            <w:r>
              <w:t xml:space="preserve">”</w:t>
            </w:r>
          </w:p>
        </w:tc>
      </w:tr>
    </w:tbl>
    <w:p>
      <w:r>
        <w:br w:type="page"/>
      </w:r>
    </w:p>
    <w:bookmarkEnd w:id="97"/>
    <w:bookmarkStart w:id="108" w:name="table-2"/>
    <w:p>
      <w:pPr>
        <w:pStyle w:val="berschrift2"/>
      </w:pPr>
      <w:r>
        <w:t xml:space="preserve">Table 2</w:t>
      </w:r>
    </w:p>
    <w:p>
      <w:pPr>
        <w:pStyle w:val="FirstParagraph"/>
      </w:pPr>
      <w:r>
        <w:rPr>
          <w:iCs/>
          <w:i/>
        </w:rPr>
        <w:t xml:space="preserve">Predicted direction of effects compared to the single-analyst condition</w:t>
      </w:r>
    </w:p>
    <w:tbl>
      <w:tblPr>
        <w:tblStyle w:val="Table"/>
        <w:tblW w:type="pct" w:w="0.0"/>
        <w:tblLook w:firstRow="1" w:lastRow="0" w:firstColumn="0" w:lastColumn="0" w:noHBand="0" w:noVBand="0" w:val="0020"/>
      </w:tblPr>
      <w:tblGrid/>
      <w:tr>
        <w:tc>
          <w:p>
            <w:pPr>
              <w:pStyle w:val="Compact"/>
              <w:jc w:val="left"/>
            </w:pPr>
            <w:r>
              <w:t xml:space="preserve">Measure</w:t>
            </w:r>
          </w:p>
        </w:tc>
        <w:tc>
          <w:p>
            <w:pPr>
              <w:pStyle w:val="Compact"/>
              <w:jc w:val="left"/>
            </w:pPr>
            <w:r>
              <w:t xml:space="preserve">Multi-consistent</w:t>
            </w:r>
          </w:p>
        </w:tc>
        <w:tc>
          <w:p>
            <w:pPr>
              <w:pStyle w:val="Compact"/>
              <w:jc w:val="left"/>
            </w:pPr>
            <w:r>
              <w:t xml:space="preserve">Multi-inconsistent</w:t>
            </w:r>
          </w:p>
        </w:tc>
      </w:tr>
      <w:tr>
        <w:tc>
          <w:p>
            <w:pPr>
              <w:pStyle w:val="Compact"/>
              <w:jc w:val="left"/>
            </w:pPr>
            <w:r>
              <w:t xml:space="preserve">1. Posterior beliefs</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vcVdsX/file6a6d6636628d.png" id="0" name="Picture"/>
                          <pic:cNvPicPr>
                            <a:picLocks noChangeArrowheads="1" noChangeAspect="1"/>
                          </pic:cNvPicPr>
                        </pic:nvPicPr>
                        <pic:blipFill>
                          <a:blip r:embed="rId98"/>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vcVdsX/file6a6d7c804b67.png" id="0" name="Picture"/>
                          <pic:cNvPicPr>
                            <a:picLocks noChangeArrowheads="1" noChangeAspect="1"/>
                          </pic:cNvPicPr>
                        </pic:nvPicPr>
                        <pic:blipFill>
                          <a:blip r:embed="rId99"/>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2. Credibility of the results</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vcVdsX/file6a6d4ad6970c.png" id="0" name="Picture"/>
                          <pic:cNvPicPr>
                            <a:picLocks noChangeArrowheads="1" noChangeAspect="1"/>
                          </pic:cNvPicPr>
                        </pic:nvPicPr>
                        <pic:blipFill>
                          <a:blip r:embed="rId100"/>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vcVdsX/file6a6d4e56bb36.png" id="0" name="Picture"/>
                          <pic:cNvPicPr>
                            <a:picLocks noChangeArrowheads="1" noChangeAspect="1"/>
                          </pic:cNvPicPr>
                        </pic:nvPicPr>
                        <pic:blipFill>
                          <a:blip r:embed="rId101"/>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3. Confidence in precise estimate</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vcVdsX/file6a6d201cfe68.png" id="0" name="Picture"/>
                          <pic:cNvPicPr>
                            <a:picLocks noChangeArrowheads="1" noChangeAspect="1"/>
                          </pic:cNvPicPr>
                        </pic:nvPicPr>
                        <pic:blipFill>
                          <a:blip r:embed="rId102"/>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vcVdsX/file6a6d4f826e50.png" id="0" name="Picture"/>
                          <pic:cNvPicPr>
                            <a:picLocks noChangeArrowheads="1" noChangeAspect="1"/>
                          </pic:cNvPicPr>
                        </pic:nvPicPr>
                        <pic:blipFill>
                          <a:blip r:embed="rId103"/>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4. Researcher bias</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vcVdsX/file6a6d7c186ef7.png" id="0" name="Picture"/>
                          <pic:cNvPicPr>
                            <a:picLocks noChangeArrowheads="1" noChangeAspect="1"/>
                          </pic:cNvPicPr>
                        </pic:nvPicPr>
                        <pic:blipFill>
                          <a:blip r:embed="rId104"/>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vcVdsX/file6a6d281d59c7.png" id="0" name="Picture"/>
                          <pic:cNvPicPr>
                            <a:picLocks noChangeArrowheads="1" noChangeAspect="1"/>
                          </pic:cNvPicPr>
                        </pic:nvPicPr>
                        <pic:blipFill>
                          <a:blip r:embed="rId105"/>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5. Researcher error</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vcVdsX/file6a6d1ef12c64.png" id="0" name="Picture"/>
                          <pic:cNvPicPr>
                            <a:picLocks noChangeArrowheads="1" noChangeAspect="1"/>
                          </pic:cNvPicPr>
                        </pic:nvPicPr>
                        <pic:blipFill>
                          <a:blip r:embed="rId106"/>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vcVdsX/file6a6d6b99691a.png" id="0" name="Picture"/>
                          <pic:cNvPicPr>
                            <a:picLocks noChangeArrowheads="1" noChangeAspect="1"/>
                          </pic:cNvPicPr>
                        </pic:nvPicPr>
                        <pic:blipFill>
                          <a:blip r:embed="rId107"/>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6. Researcher discretion</w:t>
            </w:r>
          </w:p>
        </w:tc>
        <w:tc>
          <w:p>
            <w:pPr>
              <w:pStyle w:val="Compact"/>
              <w:jc w:val="left"/>
            </w:pPr>
            <m:oMath>
              <m:r>
                <m:t> </m:t>
              </m:r>
              <m:r>
                <m:t> </m:t>
              </m:r>
              <m:r>
                <m:t> </m:t>
              </m:r>
            </m:oMath>
            <w:r>
              <w:t xml:space="preserve"> </w:t>
            </w:r>
            <w:r>
              <w:t xml:space="preserve">No prediction</w:t>
            </w:r>
          </w:p>
        </w:tc>
        <w:tc>
          <w:p>
            <w:pPr>
              <w:pStyle w:val="Compact"/>
              <w:jc w:val="left"/>
            </w:pPr>
            <m:oMath>
              <m:r>
                <m:t> </m:t>
              </m:r>
              <m:r>
                <m:t> </m:t>
              </m:r>
              <m:r>
                <m:t> </m:t>
              </m:r>
            </m:oMath>
            <w:r>
              <w:t xml:space="preserve"> </w:t>
            </w:r>
            <w:r>
              <w:t xml:space="preserve">No prediction</w:t>
            </w:r>
          </w:p>
        </w:tc>
      </w:tr>
    </w:tbl>
    <w:p>
      <w:pPr>
        <w:pStyle w:val="Textkrper"/>
      </w:pPr>
      <w:r>
        <w:rPr>
          <w:iCs/>
          <w:i/>
        </w:rPr>
        <w:t xml:space="preserve">Note</w:t>
      </w:r>
      <w:r>
        <w:t xml:space="preserve">. Table 2 indicates the predicted direction of the effect for all dependent variables, compared to the single-analyst condition and controlling for prior beliefs (a green plus stands for a positive prediction, and a red minus stands for a negative prediction). For example, we hypothesized that, compared to a single-analyst study and controlling for prior beliefs, ratings of credibility would be greater in the multi-consistent condition and lower in the multi-inconsistent condition.</w:t>
      </w:r>
    </w:p>
    <w:p>
      <w:r>
        <w:br w:type="page"/>
      </w:r>
    </w:p>
    <w:bookmarkEnd w:id="108"/>
    <w:bookmarkEnd w:id="109"/>
    <w:bookmarkStart w:id="114" w:name="figures"/>
    <w:p>
      <w:pPr>
        <w:pStyle w:val="berschrift1"/>
      </w:pPr>
      <w:r>
        <w:t xml:space="preserve">Figures</w:t>
      </w:r>
    </w:p>
    <w:bookmarkStart w:id="111" w:name="figure-1"/>
    <w:p>
      <w:pPr>
        <w:pStyle w:val="berschrift2"/>
      </w:pPr>
      <w:r>
        <w:t xml:space="preserve">Figure 1</w:t>
      </w:r>
    </w:p>
    <w:p>
      <w:pPr>
        <w:pStyle w:val="FirstParagraph"/>
      </w:pPr>
      <w:r>
        <w:rPr>
          <w:iCs/>
          <w:i/>
        </w:rPr>
        <w:t xml:space="preserve">Estimates relative to the single-analyst condition</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Figure1.jpg" id="0" name="Picture"/>
                    <pic:cNvPicPr>
                      <a:picLocks noChangeArrowheads="1" noChangeAspect="1"/>
                    </pic:cNvPicPr>
                  </pic:nvPicPr>
                  <pic:blipFill>
                    <a:blip r:embed="rId110"/>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Figure 1 displays coefficient estimates (and 95% confidence intervals) of posterior beliefs, credibility, confidence, bias, error, and discretion in the two multi-analyst conditions, compared to the single-analyst condition (and controlling for prior beliefs). Green/red/gray error bars indicate positive/negative/insignificant findings, respectively.</w:t>
      </w:r>
    </w:p>
    <w:p>
      <w:r>
        <w:br w:type="page"/>
      </w:r>
    </w:p>
    <w:bookmarkEnd w:id="111"/>
    <w:bookmarkStart w:id="113" w:name="figure-2"/>
    <w:p>
      <w:pPr>
        <w:pStyle w:val="berschrift2"/>
      </w:pPr>
      <w:r>
        <w:t xml:space="preserve">Figure 2</w:t>
      </w:r>
    </w:p>
    <w:p>
      <w:pPr>
        <w:pStyle w:val="FirstParagraph"/>
      </w:pPr>
      <w:r>
        <w:rPr>
          <w:iCs/>
          <w:i/>
        </w:rPr>
        <w:t xml:space="preserve">Individual data points, quartiles, and distributions of prior and posterior beliefs in the single-analyst, multi-consistent, and multi-inconsistent conditions</w:t>
      </w:r>
      <w:r>
        <w:br/>
      </w:r>
      <w:r>
        <w:t xml:space="preserve"> </w:t>
      </w:r>
      <w:r>
        <w:drawing>
          <wp:inline>
            <wp:extent cx="5969000" cy="4263571"/>
            <wp:effectExtent b="0" l="0" r="0" t="0"/>
            <wp:docPr descr="" title="" id="1" name="Picture"/>
            <a:graphic>
              <a:graphicData uri="http://schemas.openxmlformats.org/drawingml/2006/picture">
                <pic:pic>
                  <pic:nvPicPr>
                    <pic:cNvPr descr="Figure2.jpg" id="0" name="Picture"/>
                    <pic:cNvPicPr>
                      <a:picLocks noChangeArrowheads="1" noChangeAspect="1"/>
                    </pic:cNvPicPr>
                  </pic:nvPicPr>
                  <pic:blipFill>
                    <a:blip r:embed="rId112"/>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113"/>
    <w:bookmarkEnd w:id="11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LAY PERCEPTIONS OF MULTI-ANALYST STUDIES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LAY PERCEPTIONS OF MULTI-ANALYST STUDIES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106" Target="media/rId106.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3" Target="media/rId103.png" /><Relationship Type="http://schemas.openxmlformats.org/officeDocument/2006/relationships/image" Id="rId98" Target="media/rId98.png" /><Relationship Type="http://schemas.openxmlformats.org/officeDocument/2006/relationships/image" Id="rId107" Target="media/rId107.png" /><Relationship Type="http://schemas.openxmlformats.org/officeDocument/2006/relationships/image" Id="rId104" Target="media/rId104.png" /><Relationship Type="http://schemas.openxmlformats.org/officeDocument/2006/relationships/image" Id="rId99" Target="media/rId99.png" /><Relationship Type="http://schemas.openxmlformats.org/officeDocument/2006/relationships/image" Id="rId110" Target="media/rId110.jpg" /><Relationship Type="http://schemas.openxmlformats.org/officeDocument/2006/relationships/image" Id="rId112" Target="media/rId112.jpg" /><Relationship Type="http://schemas.openxmlformats.org/officeDocument/2006/relationships/hyperlink" Id="rId86" Target="https://CRAN.R-project.org/package=dplyr" TargetMode="External" /><Relationship Type="http://schemas.openxmlformats.org/officeDocument/2006/relationships/hyperlink" Id="rId56" Target="https://CRAN.R-project.org/package=glue" TargetMode="External" /><Relationship Type="http://schemas.openxmlformats.org/officeDocument/2006/relationships/hyperlink" Id="rId64" Target="https://CRAN.R-project.org/package=here" TargetMode="External" /><Relationship Type="http://schemas.openxmlformats.org/officeDocument/2006/relationships/hyperlink" Id="rId54"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67" Target="https://CRAN.R-project.org/package=rsvg" TargetMode="External" /><Relationship Type="http://schemas.openxmlformats.org/officeDocument/2006/relationships/hyperlink" Id="rId90" Target="https://bookdown.org/yihui/rmarkdown" TargetMode="External" /><Relationship Type="http://schemas.openxmlformats.org/officeDocument/2006/relationships/hyperlink" Id="rId92" Target="https://bookdown.org/yihui/rmarkdown-cookbook"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58" Target="https://doi.org/10.1037/a0040437" TargetMode="External" /><Relationship Type="http://schemas.openxmlformats.org/officeDocument/2006/relationships/hyperlink" Id="rId74"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2" Target="https://doi.org/10.1177/0081175018777988" TargetMode="External" /><Relationship Type="http://schemas.openxmlformats.org/officeDocument/2006/relationships/hyperlink" Id="rId80" Target="https://doi.org/10.1177/1094428115610808" TargetMode="External" /><Relationship Type="http://schemas.openxmlformats.org/officeDocument/2006/relationships/hyperlink" Id="rId69" Target="https://doi.org/10.1177/1745691612465253" TargetMode="External" /><Relationship Type="http://schemas.openxmlformats.org/officeDocument/2006/relationships/hyperlink" Id="rId78" Target="https://doi.org/10.1177/1745691616658637" TargetMode="External" /><Relationship Type="http://schemas.openxmlformats.org/officeDocument/2006/relationships/hyperlink" Id="rId82"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76"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0"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84"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1"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86" Target="https://CRAN.R-project.org/package=dplyr" TargetMode="External" /><Relationship Type="http://schemas.openxmlformats.org/officeDocument/2006/relationships/hyperlink" Id="rId56" Target="https://CRAN.R-project.org/package=glue" TargetMode="External" /><Relationship Type="http://schemas.openxmlformats.org/officeDocument/2006/relationships/hyperlink" Id="rId64" Target="https://CRAN.R-project.org/package=here" TargetMode="External" /><Relationship Type="http://schemas.openxmlformats.org/officeDocument/2006/relationships/hyperlink" Id="rId54"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67" Target="https://CRAN.R-project.org/package=rsvg" TargetMode="External" /><Relationship Type="http://schemas.openxmlformats.org/officeDocument/2006/relationships/hyperlink" Id="rId90" Target="https://bookdown.org/yihui/rmarkdown" TargetMode="External" /><Relationship Type="http://schemas.openxmlformats.org/officeDocument/2006/relationships/hyperlink" Id="rId92" Target="https://bookdown.org/yihui/rmarkdown-cookbook"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58" Target="https://doi.org/10.1037/a0040437" TargetMode="External" /><Relationship Type="http://schemas.openxmlformats.org/officeDocument/2006/relationships/hyperlink" Id="rId74"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2" Target="https://doi.org/10.1177/0081175018777988" TargetMode="External" /><Relationship Type="http://schemas.openxmlformats.org/officeDocument/2006/relationships/hyperlink" Id="rId80" Target="https://doi.org/10.1177/1094428115610808" TargetMode="External" /><Relationship Type="http://schemas.openxmlformats.org/officeDocument/2006/relationships/hyperlink" Id="rId69" Target="https://doi.org/10.1177/1745691612465253" TargetMode="External" /><Relationship Type="http://schemas.openxmlformats.org/officeDocument/2006/relationships/hyperlink" Id="rId78" Target="https://doi.org/10.1177/1745691616658637" TargetMode="External" /><Relationship Type="http://schemas.openxmlformats.org/officeDocument/2006/relationships/hyperlink" Id="rId82"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76"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0"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84"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1"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Crowd-Scientific Findings: The Risks of Variability and Lack of Consensus</dc:title>
  <dc:creator/>
  <cp:keywords/>
  <dcterms:created xsi:type="dcterms:W3CDTF">2021-10-12T10:12:49Z</dcterms:created>
  <dcterms:modified xsi:type="dcterms:W3CDTF">2021-10-12T10:12:49Z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Multi-Analyst Studies</vt:lpwstr>
  </property>
  <property fmtid="{D5CDD505-2E9C-101B-9397-08002B2CF9AE}" pid="15" name="tablelist">
    <vt:lpwstr>no</vt:lpwstr>
  </property>
  <property fmtid="{D5CDD505-2E9C-101B-9397-08002B2CF9AE}" pid="16" name="wordcount">
    <vt:lpwstr>3,692</vt:lpwstr>
  </property>
</Properties>
</file>