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77.jpg" ContentType="image/jpeg"/>
  <Override PartName="/word/media/rId7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a single, aggregate parameter estimate (the single-analyst condition) vs. multiple parameter estimates that (b)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(c) vary widely and are of both signs,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1,890</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 Does crowd science meet its promise – to improve the credibility of scientific research – in reality?</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 We compare the effects of providing (a) a single, aggregate parameter estimate (the single-analyst condition) vs. multiple parameter estimates that (b)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(c) vary widely and are of both signs,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t xml:space="preserve"> </w:t>
      </w:r>
      <w:r>
        <w:t xml:space="preserve">We would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t xml:space="preserve">Our pre-registered hypotheses (</w:t>
      </w:r>
      <w:hyperlink r:id="rId21">
        <w:r>
          <w:rPr>
            <w:rStyle w:val="Hyperlink"/>
          </w:rPr>
          <w:t xml:space="preserve">https://osf.io/rpu98</w:t>
        </w:r>
      </w:hyperlink>
      <w:r>
        <w:t xml:space="preserve">) can be found in Table 1: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1. We did not preregister any hypotheses for the last measure; the findings concerning the impact of experimental condition on ratings of experimenter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Our main findings are displayed in Figure 1. Controlling for prior beliefs and comparing to the single-analyst condition, we found that (1) reported posterior beliefs were significantly lower in both the multi-consistent condition,</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t</m:t>
        </m:r>
        <m:r>
          <m:rPr>
            <m:sty m:val="p"/>
          </m:rPr>
          <m:t>(</m:t>
        </m:r>
        <m:r>
          <m:t>1494</m:t>
        </m:r>
        <m:r>
          <m:rPr>
            <m:sty m:val="p"/>
          </m:rPr>
          <m:t>)</m:t>
        </m:r>
        <m:r>
          <m:rPr>
            <m:sty m:val="p"/>
          </m:rPr>
          <m:t>=</m:t>
        </m:r>
        <m:r>
          <m:rPr>
            <m:sty m:val="p"/>
          </m:rPr>
          <m:t>−</m:t>
        </m:r>
        <m:r>
          <m:t>4.00</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t</m:t>
        </m:r>
        <m:r>
          <m:rPr>
            <m:sty m:val="p"/>
          </m:rPr>
          <m:t>(</m:t>
        </m:r>
        <m:r>
          <m:t>1494</m:t>
        </m:r>
        <m:r>
          <m:rPr>
            <m:sty m:val="p"/>
          </m:rPr>
          <m:t>)</m:t>
        </m:r>
        <m:r>
          <m:rPr>
            <m:sty m:val="p"/>
          </m:rPr>
          <m:t>=</m:t>
        </m:r>
        <m:r>
          <m:rPr>
            <m:sty m:val="p"/>
          </m:rPr>
          <m:t>−</m:t>
        </m:r>
        <m:r>
          <m:t>16.00</m:t>
        </m:r>
      </m:oMath>
      <w:r>
        <w:t xml:space="preserve">,</w:t>
      </w:r>
      <w:r>
        <w:t xml:space="preserve"> </w:t>
      </w:r>
      <m:oMath>
        <m:r>
          <m:t>p</m:t>
        </m:r>
        <m:r>
          <m:rPr>
            <m:sty m:val="p"/>
          </m:rPr>
          <m:t>&lt;</m:t>
        </m:r>
        <m:r>
          <m:t>.001</m:t>
        </m:r>
      </m:oMath>
      <w:r>
        <w:t xml:space="preserve">; (2) ratings of credibility were significantly lower in the multi-inconsistent condition,</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t</m:t>
        </m:r>
        <m:r>
          <m:rPr>
            <m:sty m:val="p"/>
          </m:rPr>
          <m:t>(</m:t>
        </m:r>
        <m:r>
          <m:t>1494</m:t>
        </m:r>
        <m:r>
          <m:rPr>
            <m:sty m:val="p"/>
          </m:rPr>
          <m:t>)</m:t>
        </m:r>
        <m:r>
          <m:rPr>
            <m:sty m:val="p"/>
          </m:rPr>
          <m:t>=</m:t>
        </m:r>
        <m:r>
          <m:rPr>
            <m:sty m:val="p"/>
          </m:rPr>
          <m:t>−</m:t>
        </m:r>
        <m:r>
          <m:t>4.63</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t</m:t>
        </m:r>
        <m:r>
          <m:rPr>
            <m:sty m:val="p"/>
          </m:rPr>
          <m:t>(</m:t>
        </m:r>
        <m:r>
          <m:t>1494</m:t>
        </m:r>
        <m:r>
          <m:rPr>
            <m:sty m:val="p"/>
          </m:rPr>
          <m:t>)</m:t>
        </m:r>
        <m:r>
          <m:rPr>
            <m:sty m:val="p"/>
          </m:rPr>
          <m:t>=</m:t>
        </m:r>
        <m:r>
          <m:t>0.88</m:t>
        </m:r>
      </m:oMath>
      <w:r>
        <w:t xml:space="preserve">,</w:t>
      </w:r>
      <w:r>
        <w:t xml:space="preserve"> </w:t>
      </w:r>
      <m:oMath>
        <m:r>
          <m:t>p</m:t>
        </m:r>
        <m:r>
          <m:rPr>
            <m:sty m:val="p"/>
          </m:rPr>
          <m:t>=</m:t>
        </m:r>
        <m:r>
          <m:t>.380</m:t>
        </m:r>
      </m:oMath>
      <w:r>
        <w:t xml:space="preserve">; (3) confidence in the effect size estimate was significantly lower in the multi-inconsistent condition,</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t</m:t>
        </m:r>
        <m:r>
          <m:rPr>
            <m:sty m:val="p"/>
          </m:rPr>
          <m:t>(</m:t>
        </m:r>
        <m:r>
          <m:t>1494</m:t>
        </m:r>
        <m:r>
          <m:rPr>
            <m:sty m:val="p"/>
          </m:rPr>
          <m:t>)</m:t>
        </m:r>
        <m:r>
          <m:rPr>
            <m:sty m:val="p"/>
          </m:rPr>
          <m:t>=</m:t>
        </m:r>
        <m:r>
          <m:rPr>
            <m:sty m:val="p"/>
          </m:rPr>
          <m:t>−</m:t>
        </m:r>
        <m:r>
          <m:t>5.90</m:t>
        </m:r>
      </m:oMath>
      <w:r>
        <w:t xml:space="preserve">,</w:t>
      </w:r>
      <w:r>
        <w:t xml:space="preserve"> </w:t>
      </w:r>
      <m:oMath>
        <m:r>
          <m:t>p</m:t>
        </m:r>
        <m:r>
          <m:rPr>
            <m:sty m:val="p"/>
          </m:rPr>
          <m:t>&lt;</m:t>
        </m:r>
        <m:r>
          <m:t>.001</m:t>
        </m:r>
      </m:oMath>
      <w:r>
        <w:t xml:space="preserve">, while it was not significantly different in the multi-consistent condition,</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t</m:t>
        </m:r>
        <m:r>
          <m:rPr>
            <m:sty m:val="p"/>
          </m:rPr>
          <m:t>(</m:t>
        </m:r>
        <m:r>
          <m:t>1494</m:t>
        </m:r>
        <m:r>
          <m:rPr>
            <m:sty m:val="p"/>
          </m:rPr>
          <m:t>)</m:t>
        </m:r>
        <m:r>
          <m:rPr>
            <m:sty m:val="p"/>
          </m:rPr>
          <m:t>=</m:t>
        </m:r>
        <m:r>
          <m:t>0.32</m:t>
        </m:r>
      </m:oMath>
      <w:r>
        <w:t xml:space="preserve">,</w:t>
      </w:r>
      <w:r>
        <w:t xml:space="preserve"> </w:t>
      </w:r>
      <m:oMath>
        <m:r>
          <m:t>p</m:t>
        </m:r>
        <m:r>
          <m:rPr>
            <m:sty m:val="p"/>
          </m:rPr>
          <m:t>=</m:t>
        </m:r>
        <m:r>
          <m:t>.749</m:t>
        </m:r>
      </m:oMath>
      <w:r>
        <w:t xml:space="preserve">; (4) ratings of bias were significantly greater in the multi-inconsistent condition,</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t</m:t>
        </m:r>
        <m:r>
          <m:rPr>
            <m:sty m:val="p"/>
          </m:rPr>
          <m:t>(</m:t>
        </m:r>
        <m:r>
          <m:t>1494</m:t>
        </m:r>
        <m:r>
          <m:rPr>
            <m:sty m:val="p"/>
          </m:rPr>
          <m:t>)</m:t>
        </m:r>
        <m:r>
          <m:rPr>
            <m:sty m:val="p"/>
          </m:rPr>
          <m:t>=</m:t>
        </m:r>
        <m:r>
          <m:t>4.09</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t</m:t>
        </m:r>
        <m:r>
          <m:rPr>
            <m:sty m:val="p"/>
          </m:rPr>
          <m:t>(</m:t>
        </m:r>
        <m:r>
          <m:t>1494</m:t>
        </m:r>
        <m:r>
          <m:rPr>
            <m:sty m:val="p"/>
          </m:rPr>
          <m:t>)</m:t>
        </m:r>
        <m:r>
          <m:rPr>
            <m:sty m:val="p"/>
          </m:rPr>
          <m:t>=</m:t>
        </m:r>
        <m:r>
          <m:t>1.30</m:t>
        </m:r>
      </m:oMath>
      <w:r>
        <w:t xml:space="preserve">,</w:t>
      </w:r>
      <w:r>
        <w:t xml:space="preserve"> </w:t>
      </w:r>
      <m:oMath>
        <m:r>
          <m:t>p</m:t>
        </m:r>
        <m:r>
          <m:rPr>
            <m:sty m:val="p"/>
          </m:rPr>
          <m:t>=</m:t>
        </m:r>
        <m:r>
          <m:t>.192</m:t>
        </m:r>
      </m:oMath>
      <w:r>
        <w:t xml:space="preserve">; and (5) ratings of error were significantly greater in both the multi-consistent condition,</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t</m:t>
        </m:r>
        <m:r>
          <m:rPr>
            <m:sty m:val="p"/>
          </m:rPr>
          <m:t>(</m:t>
        </m:r>
        <m:r>
          <m:t>1494</m:t>
        </m:r>
        <m:r>
          <m:rPr>
            <m:sty m:val="p"/>
          </m:rPr>
          <m:t>)</m:t>
        </m:r>
        <m:r>
          <m:rPr>
            <m:sty m:val="p"/>
          </m:rPr>
          <m:t>=</m:t>
        </m:r>
        <m:r>
          <m:t>2.42</m:t>
        </m:r>
      </m:oMath>
      <w:r>
        <w:t xml:space="preserve">,</w:t>
      </w:r>
      <w:r>
        <w:t xml:space="preserve"> </w:t>
      </w:r>
      <m:oMath>
        <m:r>
          <m:t>p</m:t>
        </m:r>
        <m:r>
          <m:rPr>
            <m:sty m:val="p"/>
          </m:rPr>
          <m:t>=</m:t>
        </m:r>
        <m:r>
          <m:t>.016</m:t>
        </m:r>
      </m:oMath>
      <w:r>
        <w:t xml:space="preserve">, and the multi-inconsistent condition,</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t</m:t>
        </m:r>
        <m:r>
          <m:rPr>
            <m:sty m:val="p"/>
          </m:rPr>
          <m:t>(</m:t>
        </m:r>
        <m:r>
          <m:t>1494</m:t>
        </m:r>
        <m:r>
          <m:rPr>
            <m:sty m:val="p"/>
          </m:rPr>
          <m:t>)</m:t>
        </m:r>
        <m:r>
          <m:rPr>
            <m:sty m:val="p"/>
          </m:rPr>
          <m:t>=</m:t>
        </m:r>
        <m:r>
          <m:t>3.97</m:t>
        </m:r>
      </m:oMath>
      <w:r>
        <w:t xml:space="preserve">,</w:t>
      </w:r>
      <w:r>
        <w:t xml:space="preserve"> </w:t>
      </w:r>
      <m:oMath>
        <m:r>
          <m:t>p</m:t>
        </m:r>
        <m:r>
          <m:rPr>
            <m:sty m:val="p"/>
          </m:rPr>
          <m:t>&lt;</m:t>
        </m:r>
        <m:r>
          <m:t>.001</m:t>
        </m:r>
      </m:oMath>
      <w:r>
        <w:t xml:space="preserve">. For our exploratory measure of discretion, we found that ratings of experimenter degrees of freedom were significantly greater in both the multi-consistent condition,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t</m:t>
        </m:r>
        <m:r>
          <m:rPr>
            <m:sty m:val="p"/>
          </m:rPr>
          <m:t>(</m:t>
        </m:r>
        <m:r>
          <m:t>1494</m:t>
        </m:r>
        <m:r>
          <m:rPr>
            <m:sty m:val="p"/>
          </m:rPr>
          <m:t>)</m:t>
        </m:r>
        <m:r>
          <m:rPr>
            <m:sty m:val="p"/>
          </m:rPr>
          <m:t>=</m:t>
        </m:r>
        <m:r>
          <m:t>3.64</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t</m:t>
        </m:r>
        <m:r>
          <m:rPr>
            <m:sty m:val="p"/>
          </m:rPr>
          <m:t>(</m:t>
        </m:r>
        <m:r>
          <m:t>1494</m:t>
        </m:r>
        <m:r>
          <m:rPr>
            <m:sty m:val="p"/>
          </m:rPr>
          <m:t>)</m:t>
        </m:r>
        <m:r>
          <m:rPr>
            <m:sty m:val="p"/>
          </m:rPr>
          <m:t>=</m:t>
        </m:r>
        <m:r>
          <m:t>6.54</m:t>
        </m:r>
      </m:oMath>
      <w:r>
        <w:t xml:space="preserve">,</w:t>
      </w:r>
      <w:r>
        <w:t xml:space="preserve"> </w:t>
      </w:r>
      <m:oMath>
        <m:r>
          <m:t>p</m:t>
        </m:r>
        <m:r>
          <m:rPr>
            <m:sty m:val="p"/>
          </m:rPr>
          <m:t>&lt;</m:t>
        </m:r>
        <m:r>
          <m:t>.001</m:t>
        </m:r>
      </m:oMath>
      <w:r>
        <w:t xml:space="preserv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t xml:space="preserve">It is worth noting on the basis of Figure 2 and a post-hoc, one-sample</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t</m:t>
        </m:r>
        <m:r>
          <m:rPr>
            <m:sty m:val="p"/>
          </m:rPr>
          <m:t>(</m:t>
        </m:r>
        <m:r>
          <m:t>498</m:t>
        </m:r>
        <m:r>
          <m:rPr>
            <m:sty m:val="p"/>
          </m:rPr>
          <m:t>)</m:t>
        </m:r>
        <m:r>
          <m:rPr>
            <m:sty m:val="p"/>
          </m:rPr>
          <m:t>=</m:t>
        </m:r>
        <m:r>
          <m:t>4.24</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9"/>
    <w:bookmarkStart w:id="32"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 While instituted with the goal of improving the credibility of scientific research,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experimenter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 and</w:t>
      </w:r>
      <w:r>
        <w:t xml:space="preserve"> </w:t>
      </w:r>
      <w:r>
        <w:rPr>
          <w:iCs/>
          <w:i/>
        </w:rPr>
        <w:t xml:space="preserve">tinylabels</w:t>
      </w:r>
      <w:r>
        <w:t xml:space="preserve"> </w:t>
      </w:r>
      <w:r>
        <w:t xml:space="preserve">(Version 0.2.1; Barth, 2021)</w:t>
      </w:r>
      <w:r>
        <w:t xml:space="preserve">.</w:t>
      </w:r>
    </w:p>
    <w:bookmarkEnd w:id="30"/>
    <w:bookmarkStart w:id="31"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1"/>
    <w:bookmarkEnd w:id="32"/>
    <w:bookmarkStart w:id="75" w:name="references"/>
    <w:p>
      <w:pPr>
        <w:pStyle w:val="berschrift1"/>
      </w:pPr>
      <w:r>
        <w:t xml:space="preserve">References</w:t>
      </w:r>
    </w:p>
    <w:bookmarkStart w:id="74" w:name="refs"/>
    <w:bookmarkStart w:id="34"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3">
        <w:r>
          <w:rPr>
            <w:rStyle w:val="Hyperlink"/>
          </w:rPr>
          <w:t xml:space="preserve">https://doi.org/10.1038/s41562-019-0807-z</w:t>
        </w:r>
      </w:hyperlink>
    </w:p>
    <w:bookmarkEnd w:id="34"/>
    <w:bookmarkStart w:id="36"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5">
        <w:r>
          <w:rPr>
            <w:rStyle w:val="Hyperlink"/>
          </w:rPr>
          <w:t xml:space="preserve">https://github.com/jorvlan/raincloudplots</w:t>
        </w:r>
      </w:hyperlink>
    </w:p>
    <w:bookmarkEnd w:id="36"/>
    <w:bookmarkStart w:id="38"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7">
        <w:r>
          <w:rPr>
            <w:rStyle w:val="Hyperlink"/>
          </w:rPr>
          <w:t xml:space="preserve">https://github.com/crsh/papaja</w:t>
        </w:r>
      </w:hyperlink>
    </w:p>
    <w:bookmarkEnd w:id="38"/>
    <w:bookmarkStart w:id="40"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39">
        <w:r>
          <w:rPr>
            <w:rStyle w:val="Hyperlink"/>
          </w:rPr>
          <w:t xml:space="preserve">https://github.com/mariusbarth/tinylabels</w:t>
        </w:r>
      </w:hyperlink>
    </w:p>
    <w:bookmarkEnd w:id="40"/>
    <w:bookmarkStart w:id="42"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41">
        <w:r>
          <w:rPr>
            <w:rStyle w:val="Hyperlink"/>
          </w:rPr>
          <w:t xml:space="preserve">https://CRAN.R-project.org/package=purrr</w:t>
        </w:r>
      </w:hyperlink>
    </w:p>
    <w:bookmarkEnd w:id="42"/>
    <w:bookmarkStart w:id="44"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43">
        <w:r>
          <w:rPr>
            <w:rStyle w:val="Hyperlink"/>
          </w:rPr>
          <w:t xml:space="preserve">https://CRAN.R-project.org/package=glue</w:t>
        </w:r>
      </w:hyperlink>
    </w:p>
    <w:bookmarkEnd w:id="44"/>
    <w:bookmarkStart w:id="46" w:name="ref-hornsey2017"/>
    <w:p>
      <w:pPr>
        <w:pStyle w:val="Literaturverzeichnis"/>
      </w:pPr>
      <w:r>
        <w:t xml:space="preserve">Hornsey, M. J., &amp; Fielding, K. S. (2017). Attitude roots and</w:t>
      </w:r>
      <w:r>
        <w:t xml:space="preserve"> </w:t>
      </w:r>
      <w:r>
        <w:t xml:space="preserve">Jiu Jitsu</w:t>
      </w:r>
      <w:r>
        <w:t xml:space="preserve"> </w:t>
      </w:r>
      <w:r>
        <w:t xml:space="preserve">persuasion:</w:t>
      </w:r>
      <w:r>
        <w:t xml:space="preserve"> </w:t>
      </w:r>
      <w:r>
        <w:t xml:space="preserve">Understanding</w:t>
      </w:r>
      <w:r>
        <w:t xml:space="preserve"> </w:t>
      </w:r>
      <w:r>
        <w:t xml:space="preserve">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45">
        <w:r>
          <w:rPr>
            <w:rStyle w:val="Hyperlink"/>
          </w:rPr>
          <w:t xml:space="preserve">https://doi.org/10.1037/a0040437</w:t>
        </w:r>
      </w:hyperlink>
    </w:p>
    <w:bookmarkEnd w:id="46"/>
    <w:bookmarkStart w:id="48"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w:t>
      </w:r>
      <w:r>
        <w:t xml:space="preserve"> </w:t>
      </w:r>
      <w:r>
        <w:t xml:space="preserve">Triangulation</w:t>
      </w:r>
      <w:r>
        <w:t xml:space="preserve"> </w:t>
      </w:r>
      <w:r>
        <w:t xml:space="preserve">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47">
        <w:r>
          <w:rPr>
            <w:rStyle w:val="Hyperlink"/>
          </w:rPr>
          <w:t xml:space="preserve">https://doi.org/10.2307/2392366</w:t>
        </w:r>
      </w:hyperlink>
    </w:p>
    <w:bookmarkEnd w:id="48"/>
    <w:bookmarkStart w:id="50"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w:t>
      </w:r>
      <w:r>
        <w:t xml:space="preserve"> </w:t>
      </w:r>
      <w:r>
        <w:t xml:space="preserve">Eliminating 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49">
        <w:r>
          <w:rPr>
            <w:rStyle w:val="Hyperlink"/>
          </w:rPr>
          <w:t xml:space="preserve">https://doi.org/10.1177/0081175018777988</w:t>
        </w:r>
      </w:hyperlink>
    </w:p>
    <w:bookmarkEnd w:id="50"/>
    <w:bookmarkStart w:id="52"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51">
        <w:r>
          <w:rPr>
            <w:rStyle w:val="Hyperlink"/>
          </w:rPr>
          <w:t xml:space="preserve">https://CRAN.R-project.org/package=here</w:t>
        </w:r>
      </w:hyperlink>
    </w:p>
    <w:bookmarkEnd w:id="52"/>
    <w:bookmarkStart w:id="54"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w:t>
      </w:r>
      <w:r>
        <w:t xml:space="preserve"> </w:t>
      </w:r>
      <w:r>
        <w:t xml:space="preserve">A 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53">
        <w:r>
          <w:rPr>
            <w:rStyle w:val="Hyperlink"/>
          </w:rPr>
          <w:t xml:space="preserve">https://doi.org/10.1177/1745691612465253</w:t>
        </w:r>
      </w:hyperlink>
    </w:p>
    <w:bookmarkEnd w:id="54"/>
    <w:bookmarkStart w:id="56"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5">
        <w:r>
          <w:rPr>
            <w:rStyle w:val="Hyperlink"/>
          </w:rPr>
          <w:t xml:space="preserve">https://www.R-project.org/</w:t>
        </w:r>
      </w:hyperlink>
    </w:p>
    <w:bookmarkEnd w:id="56"/>
    <w:bookmarkStart w:id="57"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57"/>
    <w:bookmarkStart w:id="59"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58">
        <w:r>
          <w:rPr>
            <w:rStyle w:val="Hyperlink"/>
          </w:rPr>
          <w:t xml:space="preserve">https://doi.org/10.1177/1745691616658637</w:t>
        </w:r>
      </w:hyperlink>
    </w:p>
    <w:bookmarkEnd w:id="59"/>
    <w:bookmarkStart w:id="61"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w:t>
      </w:r>
      <w:r>
        <w:t xml:space="preserve"> </w:t>
      </w:r>
      <w:r>
        <w:t xml:space="preserve">A 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60">
        <w:r>
          <w:rPr>
            <w:rStyle w:val="Hyperlink"/>
          </w:rPr>
          <w:t xml:space="preserve">https://doi.org/10.1177/1094428115610808</w:t>
        </w:r>
      </w:hyperlink>
    </w:p>
    <w:bookmarkEnd w:id="61"/>
    <w:bookmarkStart w:id="63"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w:t>
      </w:r>
      <w:r>
        <w:t xml:space="preserve"> </w:t>
      </w:r>
      <w:r>
        <w:t xml:space="preserve">Crowdsourcing 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62">
        <w:r>
          <w:rPr>
            <w:rStyle w:val="Hyperlink"/>
          </w:rPr>
          <w:t xml:space="preserve">https://doi.org/10.1177/1745691619850561</w:t>
        </w:r>
      </w:hyperlink>
    </w:p>
    <w:bookmarkEnd w:id="63"/>
    <w:bookmarkStart w:id="6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64">
        <w:r>
          <w:rPr>
            <w:rStyle w:val="Hyperlink"/>
          </w:rPr>
          <w:t xml:space="preserve">https://ggplot2.tidyverse.org</w:t>
        </w:r>
      </w:hyperlink>
    </w:p>
    <w:bookmarkEnd w:id="65"/>
    <w:bookmarkStart w:id="6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66">
        <w:r>
          <w:rPr>
            <w:rStyle w:val="Hyperlink"/>
          </w:rPr>
          <w:t xml:space="preserve">https://CRAN.R-project.org/package=dplyr</w:t>
        </w:r>
      </w:hyperlink>
    </w:p>
    <w:bookmarkEnd w:id="67"/>
    <w:bookmarkStart w:id="69"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68">
        <w:r>
          <w:rPr>
            <w:rStyle w:val="Hyperlink"/>
          </w:rPr>
          <w:t xml:space="preserve">https://CRAN.R-project.org/package=readr</w:t>
        </w:r>
      </w:hyperlink>
    </w:p>
    <w:bookmarkEnd w:id="69"/>
    <w:bookmarkStart w:id="71"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70">
        <w:r>
          <w:rPr>
            <w:rStyle w:val="Hyperlink"/>
          </w:rPr>
          <w:t xml:space="preserve">https://bookdown.org/yihui/rmarkdown</w:t>
        </w:r>
      </w:hyperlink>
    </w:p>
    <w:bookmarkEnd w:id="71"/>
    <w:bookmarkStart w:id="73"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72">
        <w:r>
          <w:rPr>
            <w:rStyle w:val="Hyperlink"/>
          </w:rPr>
          <w:t xml:space="preserve">https://bookdown.org/yihui/rmarkdown-cookbook</w:t>
        </w:r>
      </w:hyperlink>
    </w:p>
    <w:bookmarkEnd w:id="73"/>
    <w:bookmarkEnd w:id="74"/>
    <w:p>
      <w:r>
        <w:br w:type="page"/>
      </w:r>
    </w:p>
    <w:bookmarkEnd w:id="75"/>
    <w:bookmarkStart w:id="81" w:name="tables-and-figures"/>
    <w:p>
      <w:pPr>
        <w:pStyle w:val="berschrift1"/>
      </w:pPr>
      <w:r>
        <w:t xml:space="preserve">Tables and Figures</w:t>
      </w:r>
    </w:p>
    <w:bookmarkStart w:id="76" w:name="table-1"/>
    <w:p>
      <w:pPr>
        <w:pStyle w:val="berschrift2"/>
      </w:pPr>
      <w:r>
        <w:t xml:space="preserve">Table 1</w:t>
      </w:r>
    </w:p>
    <w:p>
      <w:pPr>
        <w:pStyle w:val="TableCaption"/>
      </w:pPr>
      <w:r>
        <w:t xml:space="preserve">Predicted direction of effects for all dependent variables, compared to the single-analyst condition and controlling for prior beliefs</w:t>
      </w:r>
    </w:p>
    <w:tbl>
      <w:tblPr>
        <w:tblStyle w:val="Table"/>
        <w:tblW w:type="pct" w:w="0.0"/>
        <w:tblLook w:firstRow="1" w:lastRow="0" w:firstColumn="0" w:lastColumn="0" w:noHBand="0" w:noVBand="0" w:val="0020"/>
        <w:tblCaption w:val="Predicted direction of effects for all dependent variables, compared to the single-analyst condition and controlling for prior beliefs"/>
      </w:tblPr>
      <w:tblGrid/>
      <w:tr>
        <w:tc>
          <w:p>
            <w:pPr>
              <w:pStyle w:val="Compact"/>
              <w:jc w:val="left"/>
            </w:pPr>
            <w:r>
              <w:t xml:space="preserve">Measure</w:t>
            </w:r>
          </w:p>
        </w:tc>
        <w:tc>
          <w:p>
            <w:pPr>
              <w:pStyle w:val="Compact"/>
              <w:jc w:val="center"/>
            </w:pPr>
            <w:r>
              <w:t xml:space="preserve">Many-analyst: Consistent</w:t>
            </w:r>
          </w:p>
        </w:tc>
        <w:tc>
          <w:p>
            <w:pPr>
              <w:pStyle w:val="Compact"/>
              <w:jc w:val="center"/>
            </w:pPr>
            <w:r>
              <w:t xml:space="preserve">Many-analyst: Inconsistent</w:t>
            </w:r>
          </w:p>
        </w:tc>
      </w:tr>
      <w:tr>
        <w:tc>
          <w:p>
            <w:pPr>
              <w:pStyle w:val="Compact"/>
              <w:jc w:val="left"/>
            </w:pPr>
            <w:r>
              <w:t xml:space="preserve">1. Final beliefs</w:t>
            </w:r>
          </w:p>
        </w:tc>
        <w:tc>
          <w:p>
            <w:pPr>
              <w:pStyle w:val="Compact"/>
              <w:jc w:val="center"/>
            </w:pPr>
            <w:r>
              <w:t xml:space="preserve">+</w:t>
            </w:r>
          </w:p>
        </w:tc>
        <w:tc>
          <w:p>
            <w:pPr>
              <w:pStyle w:val="Compact"/>
              <w:jc w:val="center"/>
            </w:pPr>
            <w:r>
              <w:t xml:space="preserve">-</w:t>
            </w:r>
          </w:p>
        </w:tc>
      </w:tr>
      <w:tr>
        <w:tc>
          <w:p>
            <w:pPr>
              <w:pStyle w:val="Compact"/>
              <w:jc w:val="left"/>
            </w:pPr>
            <w:r>
              <w:t xml:space="preserve">2. Credibility</w:t>
            </w:r>
          </w:p>
        </w:tc>
        <w:tc>
          <w:p>
            <w:pPr>
              <w:pStyle w:val="Compact"/>
              <w:jc w:val="center"/>
            </w:pPr>
            <w:r>
              <w:t xml:space="preserve">+</w:t>
            </w:r>
          </w:p>
        </w:tc>
        <w:tc>
          <w:p>
            <w:pPr>
              <w:pStyle w:val="Compact"/>
              <w:jc w:val="center"/>
            </w:pPr>
            <w:r>
              <w:t xml:space="preserve">-</w:t>
            </w:r>
          </w:p>
        </w:tc>
      </w:tr>
      <w:tr>
        <w:tc>
          <w:p>
            <w:pPr>
              <w:pStyle w:val="Compact"/>
              <w:jc w:val="left"/>
            </w:pPr>
            <w:r>
              <w:t xml:space="preserve">3. Confidence</w:t>
            </w:r>
          </w:p>
        </w:tc>
        <w:tc>
          <w:p>
            <w:pPr>
              <w:pStyle w:val="Compact"/>
              <w:jc w:val="center"/>
            </w:pPr>
            <w:r>
              <w:t xml:space="preserve">-</w:t>
            </w:r>
          </w:p>
        </w:tc>
        <w:tc>
          <w:p>
            <w:pPr>
              <w:pStyle w:val="Compact"/>
              <w:jc w:val="center"/>
            </w:pPr>
            <w:r>
              <w:t xml:space="preserve">-</w:t>
            </w:r>
          </w:p>
        </w:tc>
      </w:tr>
      <w:tr>
        <w:tc>
          <w:p>
            <w:pPr>
              <w:pStyle w:val="Compact"/>
              <w:jc w:val="left"/>
            </w:pPr>
            <w:r>
              <w:t xml:space="preserve">4. Bias</w:t>
            </w:r>
          </w:p>
        </w:tc>
        <w:tc>
          <w:p>
            <w:pPr>
              <w:pStyle w:val="Compact"/>
              <w:jc w:val="center"/>
            </w:pPr>
            <w:r>
              <w:t xml:space="preserve">-</w:t>
            </w:r>
          </w:p>
        </w:tc>
        <w:tc>
          <w:p>
            <w:pPr>
              <w:pStyle w:val="Compact"/>
              <w:jc w:val="center"/>
            </w:pPr>
            <w:r>
              <w:t xml:space="preserve">+</w:t>
            </w:r>
          </w:p>
        </w:tc>
      </w:tr>
      <w:tr>
        <w:tc>
          <w:p>
            <w:pPr>
              <w:pStyle w:val="Compact"/>
              <w:jc w:val="left"/>
            </w:pPr>
            <w:r>
              <w:t xml:space="preserve">5. Error</w:t>
            </w:r>
          </w:p>
        </w:tc>
        <w:tc>
          <w:p>
            <w:pPr>
              <w:pStyle w:val="Compact"/>
              <w:jc w:val="center"/>
            </w:pPr>
            <w:r>
              <w:t xml:space="preserve">-</w:t>
            </w:r>
          </w:p>
        </w:tc>
        <w:tc>
          <w:p>
            <w:pPr>
              <w:pStyle w:val="Compact"/>
              <w:jc w:val="center"/>
            </w:pPr>
            <w:r>
              <w:t xml:space="preserve">+</w:t>
            </w:r>
          </w:p>
        </w:tc>
      </w:tr>
      <w:tr>
        <w:tc>
          <w:p>
            <w:pPr>
              <w:pStyle w:val="Compact"/>
              <w:jc w:val="left"/>
            </w:pPr>
            <w:r>
              <w:t xml:space="preserve">6. Discretion</w:t>
            </w:r>
          </w:p>
        </w:tc>
        <w:tc>
          <w:p>
            <w:pPr>
              <w:pStyle w:val="Compact"/>
              <w:jc w:val="center"/>
            </w:pPr>
            <w:r>
              <w:t xml:space="preserve">No prediction</w:t>
            </w:r>
          </w:p>
        </w:tc>
        <w:tc>
          <w:p>
            <w:pPr>
              <w:pStyle w:val="Compact"/>
              <w:jc w:val="center"/>
            </w:pPr>
            <w:r>
              <w:t xml:space="preserve">No prediction</w:t>
            </w:r>
          </w:p>
        </w:tc>
      </w:tr>
    </w:tbl>
    <w:p>
      <w:pPr>
        <w:pStyle w:val="Textkrper"/>
      </w:pPr>
      <w:r>
        <w:rPr>
          <w:iCs/>
          <w:i/>
        </w:rPr>
        <w:t xml:space="preserve">Note</w:t>
      </w:r>
      <w:r>
        <w:t xml:space="preserve">. Table 1 indicates the predicted direction of the effect for each of the five dependent variables, compared to the single-analyst condition and controlling for prior beliefs. For example, we hypothesized that, compared to a single-analyst study and controlling for prior beliefs, ratings of credibility would be greater in the multi-analyst: consistent condition and lower in the multi-analyst: inconsistent condition.</w:t>
      </w:r>
    </w:p>
    <w:bookmarkEnd w:id="76"/>
    <w:bookmarkStart w:id="78" w:name="figure-1"/>
    <w:p>
      <w:pPr>
        <w:pStyle w:val="berschrift2"/>
      </w:pPr>
      <w:r>
        <w:t xml:space="preserve">Figure 1</w:t>
      </w:r>
    </w:p>
    <w:p>
      <w:pPr>
        <w:pStyle w:val="FirstParagraph"/>
      </w:pPr>
      <w:r>
        <w:rPr>
          <w:iCs/>
          <w:i/>
        </w:rPr>
        <w:t xml:space="preserve">Ratings of Bias, Confidence, Credibility, Discretion, Error, and Posterior Beliefs</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7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w:t>
      </w:r>
    </w:p>
    <w:p>
      <w:r>
        <w:br w:type="page"/>
      </w:r>
    </w:p>
    <w:bookmarkEnd w:id="78"/>
    <w:bookmarkStart w:id="80"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79"/>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80"/>
    <w:bookmarkEnd w:id="8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77" Target="media/rId77.jpg" /><Relationship Type="http://schemas.openxmlformats.org/officeDocument/2006/relationships/image" Id="rId79" Target="media/rId79.jpg" /><Relationship Type="http://schemas.openxmlformats.org/officeDocument/2006/relationships/hyperlink" Id="rId66" Target="https://CRAN.R-project.org/package=dplyr" TargetMode="External" /><Relationship Type="http://schemas.openxmlformats.org/officeDocument/2006/relationships/hyperlink" Id="rId43" Target="https://CRAN.R-project.org/package=glue" TargetMode="External" /><Relationship Type="http://schemas.openxmlformats.org/officeDocument/2006/relationships/hyperlink" Id="rId51" Target="https://CRAN.R-project.org/package=here" TargetMode="External" /><Relationship Type="http://schemas.openxmlformats.org/officeDocument/2006/relationships/hyperlink" Id="rId41" Target="https://CRAN.R-project.org/package=purrr" TargetMode="External" /><Relationship Type="http://schemas.openxmlformats.org/officeDocument/2006/relationships/hyperlink" Id="rId68" Target="https://CRAN.R-project.org/package=readr" TargetMode="External" /><Relationship Type="http://schemas.openxmlformats.org/officeDocument/2006/relationships/hyperlink" Id="rId70" Target="https://bookdown.org/yihui/rmarkdown" TargetMode="External" /><Relationship Type="http://schemas.openxmlformats.org/officeDocument/2006/relationships/hyperlink" Id="rId72" Target="https://bookdown.org/yihui/rmarkdown-cookbook" TargetMode="External" /><Relationship Type="http://schemas.openxmlformats.org/officeDocument/2006/relationships/hyperlink" Id="rId45" Target="https://doi.org/10.1037/a0040437" TargetMode="External" /><Relationship Type="http://schemas.openxmlformats.org/officeDocument/2006/relationships/hyperlink" Id="rId33" Target="https://doi.org/10.1038/s41562-019-0807-z" TargetMode="External" /><Relationship Type="http://schemas.openxmlformats.org/officeDocument/2006/relationships/hyperlink" Id="rId49" Target="https://doi.org/10.1177/0081175018777988" TargetMode="External" /><Relationship Type="http://schemas.openxmlformats.org/officeDocument/2006/relationships/hyperlink" Id="rId60" Target="https://doi.org/10.1177/1094428115610808" TargetMode="External" /><Relationship Type="http://schemas.openxmlformats.org/officeDocument/2006/relationships/hyperlink" Id="rId53" Target="https://doi.org/10.1177/1745691612465253" TargetMode="External" /><Relationship Type="http://schemas.openxmlformats.org/officeDocument/2006/relationships/hyperlink" Id="rId58" Target="https://doi.org/10.1177/1745691616658637" TargetMode="External" /><Relationship Type="http://schemas.openxmlformats.org/officeDocument/2006/relationships/hyperlink" Id="rId62" Target="https://doi.org/10.1177/1745691619850561" TargetMode="External" /><Relationship Type="http://schemas.openxmlformats.org/officeDocument/2006/relationships/hyperlink" Id="rId47" Target="https://doi.org/10.2307/2392366" TargetMode="External" /><Relationship Type="http://schemas.openxmlformats.org/officeDocument/2006/relationships/hyperlink" Id="rId64" Target="https://ggplot2.tidyverse.org" TargetMode="External" /><Relationship Type="http://schemas.openxmlformats.org/officeDocument/2006/relationships/hyperlink" Id="rId37" Target="https://github.com/crsh/papaja" TargetMode="External" /><Relationship Type="http://schemas.openxmlformats.org/officeDocument/2006/relationships/hyperlink" Id="rId35" Target="https://github.com/jorvlan/raincloudplots" TargetMode="External" /><Relationship Type="http://schemas.openxmlformats.org/officeDocument/2006/relationships/hyperlink" Id="rId39"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55"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66" Target="https://CRAN.R-project.org/package=dplyr" TargetMode="External" /><Relationship Type="http://schemas.openxmlformats.org/officeDocument/2006/relationships/hyperlink" Id="rId43" Target="https://CRAN.R-project.org/package=glue" TargetMode="External" /><Relationship Type="http://schemas.openxmlformats.org/officeDocument/2006/relationships/hyperlink" Id="rId51" Target="https://CRAN.R-project.org/package=here" TargetMode="External" /><Relationship Type="http://schemas.openxmlformats.org/officeDocument/2006/relationships/hyperlink" Id="rId41" Target="https://CRAN.R-project.org/package=purrr" TargetMode="External" /><Relationship Type="http://schemas.openxmlformats.org/officeDocument/2006/relationships/hyperlink" Id="rId68" Target="https://CRAN.R-project.org/package=readr" TargetMode="External" /><Relationship Type="http://schemas.openxmlformats.org/officeDocument/2006/relationships/hyperlink" Id="rId70" Target="https://bookdown.org/yihui/rmarkdown" TargetMode="External" /><Relationship Type="http://schemas.openxmlformats.org/officeDocument/2006/relationships/hyperlink" Id="rId72" Target="https://bookdown.org/yihui/rmarkdown-cookbook" TargetMode="External" /><Relationship Type="http://schemas.openxmlformats.org/officeDocument/2006/relationships/hyperlink" Id="rId45" Target="https://doi.org/10.1037/a0040437" TargetMode="External" /><Relationship Type="http://schemas.openxmlformats.org/officeDocument/2006/relationships/hyperlink" Id="rId33" Target="https://doi.org/10.1038/s41562-019-0807-z" TargetMode="External" /><Relationship Type="http://schemas.openxmlformats.org/officeDocument/2006/relationships/hyperlink" Id="rId49" Target="https://doi.org/10.1177/0081175018777988" TargetMode="External" /><Relationship Type="http://schemas.openxmlformats.org/officeDocument/2006/relationships/hyperlink" Id="rId60" Target="https://doi.org/10.1177/1094428115610808" TargetMode="External" /><Relationship Type="http://schemas.openxmlformats.org/officeDocument/2006/relationships/hyperlink" Id="rId53" Target="https://doi.org/10.1177/1745691612465253" TargetMode="External" /><Relationship Type="http://schemas.openxmlformats.org/officeDocument/2006/relationships/hyperlink" Id="rId58" Target="https://doi.org/10.1177/1745691616658637" TargetMode="External" /><Relationship Type="http://schemas.openxmlformats.org/officeDocument/2006/relationships/hyperlink" Id="rId62" Target="https://doi.org/10.1177/1745691619850561" TargetMode="External" /><Relationship Type="http://schemas.openxmlformats.org/officeDocument/2006/relationships/hyperlink" Id="rId47" Target="https://doi.org/10.2307/2392366" TargetMode="External" /><Relationship Type="http://schemas.openxmlformats.org/officeDocument/2006/relationships/hyperlink" Id="rId64" Target="https://ggplot2.tidyverse.org" TargetMode="External" /><Relationship Type="http://schemas.openxmlformats.org/officeDocument/2006/relationships/hyperlink" Id="rId37" Target="https://github.com/crsh/papaja" TargetMode="External" /><Relationship Type="http://schemas.openxmlformats.org/officeDocument/2006/relationships/hyperlink" Id="rId35" Target="https://github.com/jorvlan/raincloudplots" TargetMode="External" /><Relationship Type="http://schemas.openxmlformats.org/officeDocument/2006/relationships/hyperlink" Id="rId39"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55"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2021-09-24T01:10:47Z</dcterms:created>
  <dcterms:modified xsi:type="dcterms:W3CDTF">2021-09-24T01:10:47Z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1,890</vt:lpwstr>
  </property>
</Properties>
</file>