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Uncertain</w:t>
      </w:r>
      <w:r>
        <w:t xml:space="preserve"> </w:t>
      </w:r>
      <w:r>
        <w:t xml:space="preserve">Science</w:t>
      </w:r>
      <w:r>
        <w:t xml:space="preserve"> </w:t>
      </w:r>
      <w:r>
        <w:t xml:space="preserve">is</w:t>
      </w:r>
      <w:r>
        <w:t xml:space="preserve"> </w:t>
      </w:r>
      <w:r>
        <w:t xml:space="preserve">Bad</w:t>
      </w:r>
      <w:r>
        <w:t xml:space="preserve"> </w:t>
      </w:r>
      <w:r>
        <w:t xml:space="preserve">Science:</w:t>
      </w:r>
      <w:r>
        <w:t xml:space="preserve"> </w:t>
      </w: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Crowd science aims to increase the rigor, reliability, and credibility of scientific research. Does it meet its promises in reality? We report the results of an experiment in which we explore whether scientific findings emerging from a crowd of researchers (vs. a typical research collaboration) are more likely to sway the prior beliefs of research consumers, increase ratings of credibility and confidence, and decrease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w:t>
      </w:r>
      <w:r>
        <w:br/>
      </w:r>
      <w:r>
        <w:t xml:space="preserve">In line with our hypotheses, we find that lay consumers of multi-analyst studies with inconsistent results (compared to single-analyst studies) are less likely to be swayed, have less confidence in the average effect size estimate, find the results less credible, and believe the results are more likely to stem from bias and error. Contrary to our hypotheses, we do not find that multi-analyst studies with consistent results (compared to single-analyst studies) increase the sway and credibility of scientific research.</w:t>
      </w:r>
    </w:p>
    <w:p>
      <w:pPr>
        <w:pStyle w:val="Textkrper"/>
      </w:pPr>
      <w:r>
        <w:rPr>
          <w:iCs/>
          <w:i/>
        </w:rPr>
        <w:t xml:space="preserve">Keywords:</w:t>
      </w:r>
      <w:r>
        <w:t xml:space="preserve"> </w:t>
      </w:r>
      <w:r>
        <w:t xml:space="preserve">Meta-science, Crowd science, Many analysts, Multi-analyst, Research credibility</w:t>
      </w:r>
    </w:p>
    <w:p>
      <w:pPr>
        <w:pStyle w:val="Textkrper"/>
      </w:pPr>
      <w:r>
        <w:rPr>
          <w:iCs/>
          <w:i/>
        </w:rPr>
        <w:t xml:space="preserve">Word count:</w:t>
      </w:r>
      <w:r>
        <w:t xml:space="preserve"> </w:t>
      </w:r>
      <w:r>
        <w:t xml:space="preserve">X</w:t>
      </w:r>
    </w:p>
    <w:p>
      <w:pPr>
        <w:pStyle w:val="h1-pagebreak"/>
      </w:pPr>
      <w:r>
        <w:t xml:space="preserve">Uncertain Science is Bad Science: Lay Perceptions of Crowd-Scientific Findings</w:t>
      </w:r>
    </w:p>
    <w:p>
      <w:pPr>
        <w:pStyle w:val="Textkrper"/>
      </w:pPr>
      <w:r>
        <w:t xml:space="preserve">The credibility of scientific research is in doubt, among lay consumer and scientist alike. From man-made climate change to the safety and effectiveness of Covid-19 vaccinations, important scientific findings are rejected at large</w:t>
      </w:r>
      <w:r>
        <w:t xml:space="preserve"> </w:t>
      </w:r>
      <w:r>
        <w:t xml:space="preserve">(Hornsey &amp; Fielding, 2017)</w:t>
      </w:r>
      <w:r>
        <w:t xml:space="preserve">. In addition to widespread science skepticism among the general public, doubts about the credibility of scientific research have emerged from within the scientific community itself. Reliance on widely followed research practices, some scientists have come to realize, can generate impossible results, such as the ability of humans to feel what’s in the future</w:t>
      </w:r>
      <w:r>
        <w:t xml:space="preserve"> </w:t>
      </w:r>
      <w:r>
        <w:t xml:space="preserve">(Bem, 2011)</w:t>
      </w:r>
      <w:r>
        <w:t xml:space="preserve"> </w:t>
      </w:r>
      <w:r>
        <w:t xml:space="preserve">or to become younger in age from listening to certain music</w:t>
      </w:r>
      <w:r>
        <w:t xml:space="preserve"> </w:t>
      </w:r>
      <w:r>
        <w:t xml:space="preserve">(Simmons, Nelson, &amp; Simonsohn, 2011: p. 1360)</w:t>
      </w:r>
      <w:r>
        <w:t xml:space="preserve">.</w:t>
      </w:r>
      <w:r>
        <w:br/>
      </w:r>
      <w:r>
        <w:t xml:space="preserve">What can be done about this</w:t>
      </w:r>
      <w:r>
        <w:t xml:space="preserve"> </w:t>
      </w:r>
      <w:r>
        <w:t xml:space="preserve">“</w:t>
      </w:r>
      <w:r>
        <w:t xml:space="preserve">crisis of confidence</w:t>
      </w:r>
      <w:r>
        <w:t xml:space="preserve">”</w:t>
      </w:r>
      <w:r>
        <w:t xml:space="preserve"> </w:t>
      </w:r>
      <w:r>
        <w:t xml:space="preserve">(Pashler &amp; Wagenmakers, 2012: p. 528)</w:t>
      </w:r>
      <w:r>
        <w:t xml:space="preserve">? Several tools have been proposed to improve the rigor and reliability of scientific research and, consequently, combat the crisis of confidence. One such tool is the crowd or big team science approach, which leverages a large number of individuals or teams at specific stages of the research process</w:t>
      </w:r>
      <w:r>
        <w:t xml:space="preserve"> </w:t>
      </w:r>
      <w:r>
        <w:t xml:space="preserve">(Uhlmann et al., 2019)</w:t>
      </w:r>
      <w:r>
        <w:t xml:space="preserve">.</w:t>
      </w:r>
      <w:r>
        <w:br/>
      </w:r>
      <w:r>
        <w:t xml:space="preserve">Crowd science aims to improve the rigor, reliability, and credibility of scientific research. Does it meet its promises in reality? In this commentary,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We explore whether multi-analyst studies increase the sway and credibility of scientific research. That is, are scientific findings emerging from a crowd of researchers (vs. a typical science collaboration) more likely to sway the prior beliefs of research consumers, increase ratings of credibility and confidence, and decrease ratings of bias and error?</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Participants were paid $2 for 8-12 minutes of their time.</w:t>
      </w:r>
      <w:r>
        <w:br/>
      </w:r>
      <w:r>
        <w:t xml:space="preserve">Our target sample size was 1500 participants after exclusions due to failing the attention check, not completing the attention check, or attempting to take the survey more than once. We aimed to sample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The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first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single-analyst study (the</w:t>
      </w:r>
      <w:r>
        <w:t xml:space="preserve"> </w:t>
      </w:r>
      <w:r>
        <w:t xml:space="preserve">“</w:t>
      </w:r>
      <w:r>
        <w:t xml:space="preserve">single-analyst</w:t>
      </w:r>
      <w:r>
        <w:t xml:space="preserve">”</w:t>
      </w:r>
      <w:r>
        <w:t xml:space="preserve"> </w:t>
      </w:r>
      <w:r>
        <w:t xml:space="preserve">condition); a multi-analyst study with consistent results (the</w:t>
      </w:r>
      <w:r>
        <w:t xml:space="preserve"> </w:t>
      </w:r>
      <w:r>
        <w:t xml:space="preserve">“</w:t>
      </w:r>
      <w:r>
        <w:t xml:space="preserve">multi-analyst: consistent</w:t>
      </w:r>
      <w:r>
        <w:t xml:space="preserve">”</w:t>
      </w:r>
      <w:r>
        <w:t xml:space="preserve"> </w:t>
      </w:r>
      <w:r>
        <w:t xml:space="preserve">condition); or a multi-analyst study with inconsistent results (the</w:t>
      </w:r>
      <w:r>
        <w:t xml:space="preserve"> </w:t>
      </w:r>
      <w:r>
        <w:t xml:space="preserve">“</w:t>
      </w:r>
      <w:r>
        <w:t xml:space="preserve">multi-analyst: inconsistent</w:t>
      </w:r>
      <w:r>
        <w:t xml:space="preserve">”</w:t>
      </w:r>
      <w:r>
        <w:t xml:space="preserve"> </w:t>
      </w:r>
      <w:r>
        <w:t xml:space="preserve">condition).</w:t>
      </w:r>
      <w:r>
        <w:br/>
      </w:r>
      <w:r>
        <w:t xml:space="preserve">Afterwards, participants rated (1) their final beliefs about the research question, (2) the credibility of the results, (3) their confidence in the effect size estimate, and how likely it is that the estimate was influenced by (4) bias, (5) error, and (6)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dependent variables, we ran linear regression models with condition as the independent variable (with the single-analyst condition as the reference category) and prior beliefs as a covariate. All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w:t>
      </w:r>
      <w:r>
        <w:t xml:space="preserve">“</w:t>
      </w:r>
      <w:r>
        <w:t xml:space="preserve">degrees of freedom</w:t>
      </w:r>
      <w:r>
        <w:t xml:space="preserve">”</w:t>
      </w:r>
      <w:r>
        <w:t xml:space="preserve">). Thus, the findingds concerning the impact of experimental condition on ratings of degrees of freedom are exploratory, and should be treated as such.</w:t>
      </w:r>
    </w:p>
    <w:p>
      <w:pPr>
        <w:pStyle w:val="TableCaption"/>
      </w:pPr>
      <w:r>
        <w:t xml:space="preserve">Table 1: Table 1</w:t>
      </w:r>
    </w:p>
    <w:tbl>
      <w:tblPr>
        <w:tblStyle w:val="Table"/>
        <w:tblW w:type="pct" w:w="0.0"/>
        <w:tblLook w:firstRow="1" w:lastRow="0" w:firstColumn="0" w:lastColumn="0" w:noHBand="0" w:noVBand="0" w:val="0020"/>
        <w:tblCaption w:val="Table 1: Table 1"/>
      </w:tblPr>
      <w:tblGrid/>
      <w:tr>
        <w:tc>
          <w:p>
            <w:pPr>
              <w:pStyle w:val="Compact"/>
              <w:jc w:val="left"/>
            </w:pPr>
            <w:r>
              <w:t xml:space="preserve">Measure</w:t>
            </w:r>
          </w:p>
        </w:tc>
        <w:tc>
          <w:p>
            <w:pPr>
              <w:pStyle w:val="Compact"/>
              <w:jc w:val="center"/>
            </w:pPr>
            <w:r>
              <w:t xml:space="preserve">Many-analysts: Consistent</w:t>
            </w:r>
          </w:p>
        </w:tc>
        <w:tc>
          <w:p>
            <w:pPr>
              <w:pStyle w:val="Compact"/>
              <w:jc w:val="center"/>
            </w:pPr>
            <w:r>
              <w:t xml:space="preserve">Many-analysts: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bl>
    <w:bookmarkEnd w:id="27"/>
    <w:bookmarkEnd w:id="28"/>
    <w:bookmarkStart w:id="30" w:name="results"/>
    <w:p>
      <w:pPr>
        <w:pStyle w:val="berschrift1"/>
      </w:pPr>
      <w:r>
        <w:t xml:space="preserve">Results</w:t>
      </w:r>
    </w:p>
    <w:bookmarkStart w:id="29" w:name="participants-1"/>
    <w:p>
      <w:pPr>
        <w:pStyle w:val="berschrift2"/>
      </w:pPr>
      <w:r>
        <w:t xml:space="preserve">Participants</w:t>
      </w:r>
    </w:p>
    <w:bookmarkEnd w:id="29"/>
    <w:bookmarkEnd w:id="30"/>
    <w:bookmarkStart w:id="33" w:name="discussion"/>
    <w:p>
      <w:pPr>
        <w:pStyle w:val="berschrift1"/>
      </w:pPr>
      <w:r>
        <w:t xml:space="preserve">Discussion</w:t>
      </w:r>
    </w:p>
    <w:bookmarkStart w:id="31" w:name="acknowledgement"/>
    <w:p>
      <w:pPr>
        <w:pStyle w:val="berschrift2"/>
      </w:pPr>
      <w:r>
        <w:t xml:space="preserve">Acknowledgement</w:t>
      </w:r>
    </w:p>
    <w:p>
      <w:pPr>
        <w:pStyle w:val="FirstParagraph"/>
      </w:pPr>
      <w:r>
        <w:t xml:space="preserve">This manuscript was created using R</w:t>
      </w:r>
      <w:r>
        <w:t xml:space="preserve"> </w:t>
      </w:r>
      <w:r>
        <w:t xml:space="preserve">(Version 4.0.5; R Core Team, 2021)</w:t>
      </w:r>
      <w:r>
        <w:t xml:space="preserve"> </w:t>
      </w:r>
      <w:r>
        <w:t xml:space="preserve">and the R-packages</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forcats</w:t>
      </w:r>
      <w:r>
        <w:t xml:space="preserve"> </w:t>
      </w:r>
      <w:r>
        <w:t xml:space="preserve">(Version 0.5.1; Wickham, 2021a)</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3.1.4; Müller &amp; Wickham, 2021)</w:t>
      </w:r>
      <w:r>
        <w:t xml:space="preserve">,</w:t>
      </w:r>
      <w:r>
        <w:t xml:space="preserve"> </w:t>
      </w:r>
      <w:r>
        <w:rPr>
          <w:iCs/>
          <w:i/>
        </w:rPr>
        <w:t xml:space="preserve">tidyr</w:t>
      </w:r>
      <w:r>
        <w:t xml:space="preserve"> </w:t>
      </w:r>
      <w:r>
        <w:t xml:space="preserve">(Version 1.1.3; Wickham, 2021b)</w:t>
      </w:r>
      <w:r>
        <w:t xml:space="preserve">,</w:t>
      </w:r>
      <w:r>
        <w:t xml:space="preserve"> </w:t>
      </w:r>
      <w:r>
        <w:rPr>
          <w:iCs/>
          <w:i/>
        </w:rPr>
        <w:t xml:space="preserve">tidyverse</w:t>
      </w:r>
      <w:r>
        <w:t xml:space="preserve"> </w:t>
      </w:r>
      <w:r>
        <w:t xml:space="preserve">(Version 1.3.1; Wickham et al., 2019)</w:t>
      </w:r>
      <w:r>
        <w:t xml:space="preserve">, and</w:t>
      </w:r>
      <w:r>
        <w:t xml:space="preserve"> </w:t>
      </w:r>
      <w:r>
        <w:rPr>
          <w:iCs/>
          <w:i/>
        </w:rPr>
        <w:t xml:space="preserve">tinylabels</w:t>
      </w:r>
      <w:r>
        <w:t xml:space="preserve"> </w:t>
      </w:r>
      <w:r>
        <w:t xml:space="preserve">(Version 0.2.1; Barth, 2021)</w:t>
      </w:r>
      <w:r>
        <w:t xml:space="preserve">.</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75" w:name="references"/>
    <w:p>
      <w:pPr>
        <w:pStyle w:val="berschrift1"/>
      </w:pPr>
      <w:r>
        <w:t xml:space="preserve">References</w:t>
      </w:r>
    </w:p>
    <w:bookmarkStart w:id="74" w:name="refs"/>
    <w:bookmarkStart w:id="3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4">
        <w:r>
          <w:rPr>
            <w:rStyle w:val="Hyperlink"/>
          </w:rPr>
          <w:t xml:space="preserve">https://github.com/crsh/papaja</w:t>
        </w:r>
      </w:hyperlink>
    </w:p>
    <w:bookmarkEnd w:id="35"/>
    <w:bookmarkStart w:id="3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6">
        <w:r>
          <w:rPr>
            <w:rStyle w:val="Hyperlink"/>
          </w:rPr>
          <w:t xml:space="preserve">https://github.com/mariusbarth/tinylabels</w:t>
        </w:r>
      </w:hyperlink>
    </w:p>
    <w:bookmarkEnd w:id="37"/>
    <w:bookmarkStart w:id="39" w:name="ref-bem2011"/>
    <w:p>
      <w:pPr>
        <w:pStyle w:val="Literaturverzeichnis"/>
      </w:pPr>
      <w:r>
        <w:t xml:space="preserve">Bem, D. J. (2011). Feeling the future:</w:t>
      </w:r>
      <w:r>
        <w:t xml:space="preserve"> </w:t>
      </w:r>
      <w:r>
        <w:t xml:space="preserve">Experimental</w:t>
      </w:r>
      <w:r>
        <w:t xml:space="preserve"> </w:t>
      </w:r>
      <w:r>
        <w:t xml:space="preserve">evidence for anomalous retroactive influences on cognition and affect.</w:t>
      </w:r>
      <w:r>
        <w:t xml:space="preserve"> </w:t>
      </w:r>
      <w:r>
        <w:rPr>
          <w:iCs/>
          <w:i/>
        </w:rPr>
        <w:t xml:space="preserve">Journal of Personality and Social Psychology</w:t>
      </w:r>
      <w:r>
        <w:t xml:space="preserve">,</w:t>
      </w:r>
      <w:r>
        <w:t xml:space="preserve"> </w:t>
      </w:r>
      <w:r>
        <w:rPr>
          <w:iCs/>
          <w:i/>
        </w:rPr>
        <w:t xml:space="preserve">100</w:t>
      </w:r>
      <w:r>
        <w:t xml:space="preserve">(3), 407–425.</w:t>
      </w:r>
      <w:r>
        <w:t xml:space="preserve"> </w:t>
      </w:r>
      <w:hyperlink r:id="rId38">
        <w:r>
          <w:rPr>
            <w:rStyle w:val="Hyperlink"/>
          </w:rPr>
          <w:t xml:space="preserve">https://doi.org/10.1037/a0021524</w:t>
        </w:r>
      </w:hyperlink>
    </w:p>
    <w:bookmarkEnd w:id="39"/>
    <w:bookmarkStart w:id="41"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0">
        <w:r>
          <w:rPr>
            <w:rStyle w:val="Hyperlink"/>
          </w:rPr>
          <w:t xml:space="preserve">https://CRAN.R-project.org/package=purrr</w:t>
        </w:r>
      </w:hyperlink>
    </w:p>
    <w:bookmarkEnd w:id="41"/>
    <w:bookmarkStart w:id="43"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2">
        <w:r>
          <w:rPr>
            <w:rStyle w:val="Hyperlink"/>
          </w:rPr>
          <w:t xml:space="preserve">https://doi.org/10.1037/a0040437</w:t>
        </w:r>
      </w:hyperlink>
    </w:p>
    <w:bookmarkEnd w:id="43"/>
    <w:bookmarkStart w:id="4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4">
        <w:r>
          <w:rPr>
            <w:rStyle w:val="Hyperlink"/>
          </w:rPr>
          <w:t xml:space="preserve">https://CRAN.R-project.org/package=here</w:t>
        </w:r>
      </w:hyperlink>
    </w:p>
    <w:bookmarkEnd w:id="45"/>
    <w:bookmarkStart w:id="47"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46">
        <w:r>
          <w:rPr>
            <w:rStyle w:val="Hyperlink"/>
          </w:rPr>
          <w:t xml:space="preserve">https://CRAN.R-project.org/package=tibble</w:t>
        </w:r>
      </w:hyperlink>
    </w:p>
    <w:bookmarkEnd w:id="47"/>
    <w:bookmarkStart w:id="49"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8">
        <w:r>
          <w:rPr>
            <w:rStyle w:val="Hyperlink"/>
          </w:rPr>
          <w:t xml:space="preserve">https://doi.org/10.1177/1745691612465253</w:t>
        </w:r>
      </w:hyperlink>
    </w:p>
    <w:bookmarkEnd w:id="49"/>
    <w:bookmarkStart w:id="51"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bookmarkEnd w:id="51"/>
    <w:bookmarkStart w:id="53" w:name="ref-simmons2011"/>
    <w:p>
      <w:pPr>
        <w:pStyle w:val="Literaturverzeichnis"/>
      </w:pPr>
      <w:r>
        <w:t xml:space="preserve">Simmons, J. P., Nelson, L. D., &amp; Simonsohn, U. (2011). False-</w:t>
      </w:r>
      <w:r>
        <w:t xml:space="preserve">Positive Psychology</w:t>
      </w:r>
      <w:r>
        <w:t xml:space="preserve">:</w:t>
      </w:r>
      <w:r>
        <w:t xml:space="preserve"> </w:t>
      </w:r>
      <w:r>
        <w:t xml:space="preserve">Undisclosed Flexibility</w:t>
      </w:r>
      <w:r>
        <w:t xml:space="preserve"> </w:t>
      </w:r>
      <w:r>
        <w:t xml:space="preserve">in</w:t>
      </w:r>
      <w:r>
        <w:t xml:space="preserve"> </w:t>
      </w:r>
      <w:r>
        <w:t xml:space="preserve">Data Collection</w:t>
      </w:r>
      <w:r>
        <w:t xml:space="preserve"> </w:t>
      </w:r>
      <w:r>
        <w:t xml:space="preserve">and</w:t>
      </w:r>
      <w:r>
        <w:t xml:space="preserve"> </w:t>
      </w:r>
      <w:r>
        <w:t xml:space="preserve">Analysis Allows Presenting 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52">
        <w:r>
          <w:rPr>
            <w:rStyle w:val="Hyperlink"/>
          </w:rPr>
          <w:t xml:space="preserve">https://doi.org/10.1177/0956797611417632</w:t>
        </w:r>
      </w:hyperlink>
    </w:p>
    <w:bookmarkEnd w:id="53"/>
    <w:bookmarkStart w:id="55"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4">
        <w:r>
          <w:rPr>
            <w:rStyle w:val="Hyperlink"/>
          </w:rPr>
          <w:t xml:space="preserve">https://doi.org/10.1177/1745691619850561</w:t>
        </w:r>
      </w:hyperlink>
    </w:p>
    <w:bookmarkEnd w:id="55"/>
    <w:bookmarkStart w:id="57"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6">
        <w:r>
          <w:rPr>
            <w:rStyle w:val="Hyperlink"/>
          </w:rPr>
          <w:t xml:space="preserve">https://ggplot2.tidyverse.org</w:t>
        </w:r>
      </w:hyperlink>
    </w:p>
    <w:bookmarkEnd w:id="57"/>
    <w:bookmarkStart w:id="59"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58">
        <w:r>
          <w:rPr>
            <w:rStyle w:val="Hyperlink"/>
          </w:rPr>
          <w:t xml:space="preserve">https://CRAN.R-project.org/package=stringr</w:t>
        </w:r>
      </w:hyperlink>
    </w:p>
    <w:bookmarkEnd w:id="59"/>
    <w:bookmarkStart w:id="61"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60">
        <w:r>
          <w:rPr>
            <w:rStyle w:val="Hyperlink"/>
          </w:rPr>
          <w:t xml:space="preserve">https://CRAN.R-project.org/package=forcats</w:t>
        </w:r>
      </w:hyperlink>
    </w:p>
    <w:bookmarkEnd w:id="61"/>
    <w:bookmarkStart w:id="63"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62">
        <w:r>
          <w:rPr>
            <w:rStyle w:val="Hyperlink"/>
          </w:rPr>
          <w:t xml:space="preserve">https://CRAN.R-project.org/package=tidyr</w:t>
        </w:r>
      </w:hyperlink>
    </w:p>
    <w:bookmarkEnd w:id="63"/>
    <w:bookmarkStart w:id="65"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4">
        <w:r>
          <w:rPr>
            <w:rStyle w:val="Hyperlink"/>
          </w:rPr>
          <w:t xml:space="preserve">https://doi.org/10.21105/joss.01686</w:t>
        </w:r>
      </w:hyperlink>
    </w:p>
    <w:bookmarkEnd w:id="65"/>
    <w:bookmarkStart w:id="6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66">
        <w:r>
          <w:rPr>
            <w:rStyle w:val="Hyperlink"/>
          </w:rPr>
          <w:t xml:space="preserve">https://CRAN.R-project.org/package=dplyr</w:t>
        </w:r>
      </w:hyperlink>
    </w:p>
    <w:bookmarkEnd w:id="67"/>
    <w:bookmarkStart w:id="6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68">
        <w:r>
          <w:rPr>
            <w:rStyle w:val="Hyperlink"/>
          </w:rPr>
          <w:t xml:space="preserve">https://CRAN.R-project.org/package=readr</w:t>
        </w:r>
      </w:hyperlink>
    </w:p>
    <w:bookmarkEnd w:id="69"/>
    <w:bookmarkStart w:id="7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70">
        <w:r>
          <w:rPr>
            <w:rStyle w:val="Hyperlink"/>
          </w:rPr>
          <w:t xml:space="preserve">https://bookdown.org/yihui/rmarkdown</w:t>
        </w:r>
      </w:hyperlink>
    </w:p>
    <w:bookmarkEnd w:id="71"/>
    <w:bookmarkStart w:id="7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72">
        <w:r>
          <w:rPr>
            <w:rStyle w:val="Hyperlink"/>
          </w:rPr>
          <w:t xml:space="preserve">https://bookdown.org/yihui/rmarkdown-cookbook</w:t>
        </w:r>
      </w:hyperlink>
    </w:p>
    <w:bookmarkEnd w:id="73"/>
    <w:bookmarkEnd w:id="74"/>
    <w:bookmarkEnd w:id="7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SWAY AND CREDIBILITY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SWAY AND CREDIBILITY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66" Target="https://CRAN.R-project.org/package=dplyr" TargetMode="External" /><Relationship Type="http://schemas.openxmlformats.org/officeDocument/2006/relationships/hyperlink" Id="rId60" Target="https://CRAN.R-project.org/package=forcats" TargetMode="External" /><Relationship Type="http://schemas.openxmlformats.org/officeDocument/2006/relationships/hyperlink" Id="rId44" Target="https://CRAN.R-project.org/package=here" TargetMode="External" /><Relationship Type="http://schemas.openxmlformats.org/officeDocument/2006/relationships/hyperlink" Id="rId40"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58" Target="https://CRAN.R-project.org/package=stringr" TargetMode="External" /><Relationship Type="http://schemas.openxmlformats.org/officeDocument/2006/relationships/hyperlink" Id="rId46" Target="https://CRAN.R-project.org/package=tibble" TargetMode="External" /><Relationship Type="http://schemas.openxmlformats.org/officeDocument/2006/relationships/hyperlink" Id="rId62" Target="https://CRAN.R-project.org/package=tidy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38" Target="https://doi.org/10.1037/a0021524" TargetMode="External" /><Relationship Type="http://schemas.openxmlformats.org/officeDocument/2006/relationships/hyperlink" Id="rId42" Target="https://doi.org/10.1037/a0040437" TargetMode="External" /><Relationship Type="http://schemas.openxmlformats.org/officeDocument/2006/relationships/hyperlink" Id="rId52" Target="https://doi.org/10.1177/0956797611417632" TargetMode="External" /><Relationship Type="http://schemas.openxmlformats.org/officeDocument/2006/relationships/hyperlink" Id="rId48" Target="https://doi.org/10.1177/1745691612465253" TargetMode="External" /><Relationship Type="http://schemas.openxmlformats.org/officeDocument/2006/relationships/hyperlink" Id="rId54" Target="https://doi.org/10.1177/1745691619850561" TargetMode="External" /><Relationship Type="http://schemas.openxmlformats.org/officeDocument/2006/relationships/hyperlink" Id="rId64" Target="https://doi.org/10.21105/joss.01686" TargetMode="External" /><Relationship Type="http://schemas.openxmlformats.org/officeDocument/2006/relationships/hyperlink" Id="rId56"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3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0"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dplyr" TargetMode="External" /><Relationship Type="http://schemas.openxmlformats.org/officeDocument/2006/relationships/hyperlink" Id="rId60" Target="https://CRAN.R-project.org/package=forcats" TargetMode="External" /><Relationship Type="http://schemas.openxmlformats.org/officeDocument/2006/relationships/hyperlink" Id="rId44" Target="https://CRAN.R-project.org/package=here" TargetMode="External" /><Relationship Type="http://schemas.openxmlformats.org/officeDocument/2006/relationships/hyperlink" Id="rId40" Target="https://CRAN.R-project.org/package=purrr" TargetMode="External" /><Relationship Type="http://schemas.openxmlformats.org/officeDocument/2006/relationships/hyperlink" Id="rId68" Target="https://CRAN.R-project.org/package=readr" TargetMode="External" /><Relationship Type="http://schemas.openxmlformats.org/officeDocument/2006/relationships/hyperlink" Id="rId58" Target="https://CRAN.R-project.org/package=stringr" TargetMode="External" /><Relationship Type="http://schemas.openxmlformats.org/officeDocument/2006/relationships/hyperlink" Id="rId46" Target="https://CRAN.R-project.org/package=tibble" TargetMode="External" /><Relationship Type="http://schemas.openxmlformats.org/officeDocument/2006/relationships/hyperlink" Id="rId62" Target="https://CRAN.R-project.org/package=tidyr"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38" Target="https://doi.org/10.1037/a0021524" TargetMode="External" /><Relationship Type="http://schemas.openxmlformats.org/officeDocument/2006/relationships/hyperlink" Id="rId42" Target="https://doi.org/10.1037/a0040437" TargetMode="External" /><Relationship Type="http://schemas.openxmlformats.org/officeDocument/2006/relationships/hyperlink" Id="rId52" Target="https://doi.org/10.1177/0956797611417632" TargetMode="External" /><Relationship Type="http://schemas.openxmlformats.org/officeDocument/2006/relationships/hyperlink" Id="rId48" Target="https://doi.org/10.1177/1745691612465253" TargetMode="External" /><Relationship Type="http://schemas.openxmlformats.org/officeDocument/2006/relationships/hyperlink" Id="rId54" Target="https://doi.org/10.1177/1745691619850561" TargetMode="External" /><Relationship Type="http://schemas.openxmlformats.org/officeDocument/2006/relationships/hyperlink" Id="rId64" Target="https://doi.org/10.21105/joss.01686" TargetMode="External" /><Relationship Type="http://schemas.openxmlformats.org/officeDocument/2006/relationships/hyperlink" Id="rId56" Target="https://ggplot2.tidyverse.org" TargetMode="External" /><Relationship Type="http://schemas.openxmlformats.org/officeDocument/2006/relationships/hyperlink" Id="rId34" Target="https://github.com/crsh/papaja" TargetMode="External" /><Relationship Type="http://schemas.openxmlformats.org/officeDocument/2006/relationships/hyperlink" Id="rId3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50"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 Science is Bad Science: Lay Perceptions of Crowd-Scientific Findings</dc:title>
  <dc:creator/>
  <cp:keywords/>
  <dcterms:created xsi:type="dcterms:W3CDTF">2021-09-09T04:18:48Z</dcterms:created>
  <dcterms:modified xsi:type="dcterms:W3CDTF">2021-09-09T04:18:48Z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and Credibility of Multi-Analyst Studies</vt:lpwstr>
  </property>
  <property fmtid="{D5CDD505-2E9C-101B-9397-08002B2CF9AE}" pid="15" name="tablelist">
    <vt:lpwstr>no</vt:lpwstr>
  </property>
  <property fmtid="{D5CDD505-2E9C-101B-9397-08002B2CF9AE}" pid="16" name="wordcount">
    <vt:lpwstr>X</vt:lpwstr>
  </property>
</Properties>
</file>