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4.tiff" ContentType="image/tiff"/>
  <Override PartName="/word/media/rId187.tiff" ContentType="image/tiff"/>
  <Override PartName="/word/media/rId190.tiff" ContentType="image/tiff"/>
  <Override PartName="/word/media/rId193.tiff" ContentType="image/tiff"/>
  <Override PartName="/word/media/rId196.tiff" ContentType="image/tiff"/>
  <Override PartName="/word/media/rId199.tiff" ContentType="image/tiff"/>
  <Override PartName="/word/media/rId202.tiff" ContentType="image/tiff"/>
  <Override PartName="/word/media/rId205.tiff" ContentType="image/tiff"/>
  <Override PartName="/word/media/rId208.tiff" ContentType="image/tiff"/>
  <Override PartName="/word/media/rId211.tiff" ContentType="image/tiff"/>
  <Override PartName="/word/media/rId214.tiff" ContentType="image/tiff"/>
  <Override PartName="/word/media/rId217.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r>
        <w:t xml:space="preserve"> </w:t>
      </w:r>
      <w:r>
        <w:t xml:space="preserve">Approaches</w:t>
      </w:r>
      <w:r>
        <w:t xml:space="preserve"> </w:t>
      </w:r>
      <w:r>
        <w:t xml:space="preserve">and</w:t>
      </w:r>
      <w:r>
        <w:t xml:space="preserve"> </w:t>
      </w:r>
      <w:r>
        <w:t xml:space="preserve">Trade-offs</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 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 Approaches and Trade-offs</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et al., 2018; D. Lakens, 2014; Miller &amp; Ulrich, 2020; Schnuerch &amp; Erdfelder, 2020; Schonbrodt,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et al., 2006; Schonbrodt et al.,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50%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binding or non-binding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 is as hypothesized)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with binding futility bounds:</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For the O’Brien-Fleming-like procedure with binding futility bounds, the critical levels are</w:t>
      </w:r>
      <w:r>
        <w:t xml:space="preserve"> </w:t>
      </w:r>
      <m:oMath>
        <m:sSub>
          <m:e>
            <m:r>
              <m:t>α</m:t>
            </m:r>
          </m:e>
          <m:sub>
            <m:r>
              <m:t>1</m:t>
            </m:r>
            <m:r>
              <m:rPr>
                <m:sty m:val="p"/>
              </m:rPr>
              <m:t>,</m:t>
            </m:r>
            <m:r>
              <m:t>1</m:t>
            </m:r>
          </m:sub>
        </m:sSub>
      </m:oMath>
      <w:r>
        <w:t xml:space="preserve"> </w:t>
      </w:r>
      <w:r>
        <w:t xml:space="preserve">= .0056 for the first look,</w:t>
      </w:r>
      <w:r>
        <w:t xml:space="preserve"> </w:t>
      </w:r>
      <m:oMath>
        <m:sSub>
          <m:e>
            <m:r>
              <m:t>α</m:t>
            </m:r>
          </m:e>
          <m:sub>
            <m:r>
              <m:t>1</m:t>
            </m:r>
            <m:r>
              <m:rPr>
                <m:sty m:val="p"/>
              </m:rPr>
              <m:t>,</m:t>
            </m:r>
            <m:r>
              <m:t>2</m:t>
            </m:r>
          </m:sub>
        </m:sSub>
      </m:oMath>
      <w:r>
        <w:t xml:space="preserve"> </w:t>
      </w:r>
      <w:r>
        <w:t xml:space="preserve">= .022 for the second look, and</w:t>
      </w:r>
      <w:r>
        <w:t xml:space="preserve"> </w:t>
      </w:r>
      <m:oMath>
        <m:sSub>
          <m:e>
            <m:r>
              <m:t>α</m:t>
            </m:r>
          </m:e>
          <m:sub>
            <m:r>
              <m:t>1</m:t>
            </m:r>
            <m:r>
              <m:rPr>
                <m:sty m:val="p"/>
              </m:rPr>
              <m:t>,</m:t>
            </m:r>
            <m:r>
              <m:t>3</m:t>
            </m:r>
          </m:sub>
        </m:sSub>
      </m:oMath>
      <w:r>
        <w:t xml:space="preserve"> </w:t>
      </w:r>
      <w:r>
        <w:t xml:space="preserve">= .052 for the last look.</w:t>
      </w:r>
    </w:p>
    <w:p>
      <w:pPr>
        <w:pStyle w:val="Textkrper"/>
      </w:pPr>
      <w:r>
        <w:t xml:space="preserve">The binding futility bounds for our example Pocock-like design are</w:t>
      </w:r>
      <w:r>
        <w:t xml:space="preserve"> </w:t>
      </w:r>
      <m:oMath>
        <m:sSub>
          <m:e>
            <m:r>
              <m:t>α</m:t>
            </m:r>
          </m:e>
          <m:sub>
            <m:r>
              <m:t>0</m:t>
            </m:r>
            <m:r>
              <m:rPr>
                <m:sty m:val="p"/>
              </m:rPr>
              <m:t>,</m:t>
            </m:r>
            <m:r>
              <m:t>1</m:t>
            </m:r>
          </m:sub>
        </m:sSub>
      </m:oMath>
      <w:r>
        <w:t xml:space="preserve"> </w:t>
      </w:r>
      <w:r>
        <w:t xml:space="preserve">= .38 for the first look and</w:t>
      </w:r>
      <w:r>
        <w:t xml:space="preserve"> </w:t>
      </w:r>
      <m:oMath>
        <m:sSub>
          <m:e>
            <m:r>
              <m:t>α</m:t>
            </m:r>
          </m:e>
          <m:sub>
            <m:r>
              <m:t>0</m:t>
            </m:r>
            <m:r>
              <m:rPr>
                <m:sty m:val="p"/>
              </m:rPr>
              <m:t>,</m:t>
            </m:r>
            <m:r>
              <m:t>2</m:t>
            </m:r>
          </m:sub>
        </m:sSub>
      </m:oMath>
      <w:r>
        <w:t xml:space="preserve"> </w:t>
      </w:r>
      <w:r>
        <w:t xml:space="preserve">= .13 for the second look. For the O’Brien-Fleming-like design, the binding futility bounds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.14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w:t>
      </w:r>
    </w:p>
    <w:p>
      <w:pPr>
        <w:pStyle w:val="Textkrper"/>
      </w:pPr>
      <w:r>
        <w:t xml:space="preserve">Because the OBF-like procedure sets such a strict</w:t>
      </w:r>
      <w:r>
        <w:t xml:space="preserve"> </w:t>
      </w:r>
      <m:oMath>
        <m:r>
          <m:t>α</m:t>
        </m:r>
      </m:oMath>
      <w:r>
        <w:t xml:space="preserve"> </w:t>
      </w:r>
      <w:r>
        <w:t xml:space="preserve">threshold for the first look, a researcher employing the O’Brien-Fleming-like procedure will have relatively low power, and consequently a low probability of stopping for efficacy, in the first look. Thus, when a researcher uses the O’Brien Fleming-like procedure and wishes to be well-powered during the earlier looks, it is often recommended to have the first look take place later in the data collection process (rather than spacing the looks equally; Daniël Lakens, personal communication, December 19, 2020). For example, when</w:t>
      </w:r>
      <w:r>
        <w:t xml:space="preserve"> </w:t>
      </w:r>
      <m:oMath>
        <m:sSub>
          <m:e>
            <m:r>
              <m:t>k</m:t>
            </m:r>
          </m:e>
          <m:sub>
            <m:r>
              <m:t>m</m:t>
            </m:r>
            <m:r>
              <m:t>a</m:t>
            </m:r>
            <m:r>
              <m:t>x</m:t>
            </m:r>
          </m:sub>
        </m:sSub>
        <m:r>
          <m:rPr>
            <m:sty m:val="p"/>
          </m:rPr>
          <m:t>=</m:t>
        </m:r>
        <m:r>
          <m:t>3</m:t>
        </m:r>
      </m:oMath>
      <w:r>
        <w:t xml:space="preserve">, a researcher can decide to equally space their looks when employing a Pocock-like design (i.e., analyze the data after 33%, 67%, and 100% of the data are collected, respectively), while taking unequally spaced looks when employing an O’Brien-Fleming-like design (e.g., analyze the data after 50%, 75%, and 100% of the data are collected, respectively).</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tends to increase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t>1</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 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22 participants per group per look. Using the O’Brien-Fleming like design outlined above, this same study can be conducted with 28 participants per group during the first look, and 14 participants per group during the last two looks.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rPr>
                <m:nor/>
                <m:sty m:val="p"/>
              </m:rPr>
              <m:t>gs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gs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Schonbrodt et al.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t>1</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w:t>
      </w:r>
      <w:r>
        <w:t xml:space="preserve"> </w:t>
      </w:r>
      <w:r>
        <w:t xml:space="preserve">(even after every study participant; Schonbrodt et al., 2017)</w:t>
      </w:r>
      <w:r>
        <w:t xml:space="preserve">. Third, it does not allow type I and type II error rates to be defined a priori</w:t>
      </w:r>
      <w:r>
        <w:t xml:space="preserve"> </w:t>
      </w:r>
      <w:r>
        <w:t xml:space="preserve">(although simulations can be run to choose an optimal design that controls expected error rates, Schonbrodt &amp; Wagenmakers, 2018; Schonbrodt et al., 2017; A. Stefan, Schonbrodt,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t>1</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t>1</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Schonbrodt et al. (2017)</w:t>
      </w:r>
      <w:r>
        <w:t xml:space="preserve">. Ideally, a Bayes Factor Design Analysis or simulations can be run to choose an optimal design that controls expected error rates</w:t>
      </w:r>
      <w:r>
        <w:t xml:space="preserve"> </w:t>
      </w:r>
      <w:r>
        <w:t xml:space="preserve">(Schonbrodt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a researcher can, for example, choose the default prior distribution</w:t>
      </w:r>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Morey &amp; Rouder, 2011; Schnuerch &amp; Erdfelder, 2020; Schonbrodt et al., 2017)</w:t>
      </w:r>
      <w:r>
        <w:t xml:space="preserve">. Alternatively, a researcher can rely on an informed prior distribution that incorporates prior knowledge about the effect size, gathered from expert knowledge, previous work, or theoretical considerations</w:t>
      </w:r>
      <w:r>
        <w:t xml:space="preserve"> </w:t>
      </w:r>
      <w:r>
        <w:t xml:space="preserve">(A. Stefan et al., 2020)</w:t>
      </w:r>
      <w:r>
        <w:t xml:space="preserve">. In addition, the researcher could (for example, on the basis of simulations) choose</w:t>
      </w:r>
      <w:r>
        <w:t xml:space="preserve"> </w:t>
      </w:r>
      <m:oMath>
        <m:r>
          <m:t>B</m:t>
        </m:r>
        <m:sSub>
          <m:e>
            <m:r>
              <m:t>F</m:t>
            </m:r>
          </m:e>
          <m:sub>
            <m:r>
              <m:t>10</m:t>
            </m:r>
          </m:sub>
        </m:sSub>
      </m:oMath>
      <w:r>
        <w:t xml:space="preserve"> </w:t>
      </w:r>
      <w:r>
        <w:t xml:space="preserve">= 3 as a decision threshold</w:t>
      </w:r>
      <w:r>
        <w:t xml:space="preserve"> </w:t>
      </w:r>
      <w:r>
        <w:t xml:space="preserve">(commonly referred to as</w:t>
      </w:r>
      <w:r>
        <w:t xml:space="preserve"> </w:t>
      </w:r>
      <w:r>
        <w:t xml:space="preserve">“</w:t>
      </w:r>
      <w:r>
        <w:rPr>
          <w:iCs/>
          <w:i/>
        </w:rPr>
        <w:t xml:space="preserve">moderate evidence</w:t>
      </w:r>
      <w:r>
        <w:t xml:space="preserve">”</w:t>
      </w:r>
      <w:r>
        <w:t xml:space="preserve">; Schonbrodt et al.,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t>1</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t>1</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t>1</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t>1</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(Schonbrodt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rPr>
                <m:nor/>
                <m:sty m:val="p"/>
              </m:rPr>
              <m:t>Bayes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t>10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t>1</m:t>
            </m:r>
          </m:sub>
        </m:sSub>
      </m:oMath>
      <w:r>
        <w:t xml:space="preserve">) and end the experiment</w:t>
      </w:r>
    </w:p>
    <w:p>
      <w:pPr>
        <w:numPr>
          <w:ilvl w:val="0"/>
          <w:numId w:val="1008"/>
        </w:numPr>
        <w:pStyle w:val="Compact"/>
      </w:pPr>
      <w:r>
        <w:t xml:space="preserve">if</w:t>
      </w:r>
      <w:r>
        <w:t xml:space="preserve"> </w:t>
      </w:r>
      <m:oMath>
        <m:r>
          <m:t>B</m:t>
        </m:r>
        <m:sSub>
          <m:e>
            <m:r>
              <m:t>F</m:t>
            </m:r>
          </m:e>
          <m:sub>
            <m:r>
              <m:t>10</m:t>
            </m:r>
          </m:sub>
        </m:sSub>
        <m:r>
          <m:rPr>
            <m:sty m:val="p"/>
          </m:rPr>
          <m:t>≤</m:t>
        </m:r>
        <m:r>
          <m:t>1</m:t>
        </m:r>
        <m:r>
          <m:rPr>
            <m:sty m:val="p"/>
          </m:rPr>
          <m:t>/</m:t>
        </m:r>
        <m:r>
          <m:t>t</m:t>
        </m:r>
        <m:r>
          <m:rPr>
            <m:sty m:val="p"/>
          </m:rPr>
          <m:t>*</m:t>
        </m:r>
      </m:oMath>
      <w:r>
        <w:t xml:space="preserve">: decide to reject</w:t>
      </w:r>
      <w:r>
        <w:t xml:space="preserve"> </w:t>
      </w:r>
      <m:oMath>
        <m:sSub>
          <m:e>
            <m:r>
              <m:t>H</m:t>
            </m:r>
          </m:e>
          <m:sub>
            <m:r>
              <m:t>1</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t>10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rPr>
                <m:nor/>
                <m:sty m:val="p"/>
              </m:rPr>
              <m:t>ISP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Fisher, 1999)</w:t>
      </w:r>
      <w:r>
        <w:t xml:space="preserve">.</w:t>
      </w:r>
    </w:p>
    <w:p>
      <w:pPr>
        <w:pStyle w:val="Textkrper"/>
      </w:pPr>
      <w:r>
        <w:t xml:space="preserve">In addition, unlike the Sequential Bayes Factor and the group-sequential designs with futility bounds, the ISP does not incorporate a principled decision rule to reject the alternative hypothesis and/or conclude support for the null hypothesis</w:t>
      </w:r>
      <w:r>
        <w:t xml:space="preserve"> </w:t>
      </w:r>
      <w:r>
        <w:t xml:space="preserve">(D. Lakens, 2021a)</w:t>
      </w:r>
      <w:r>
        <w:t xml:space="preserve">. The Bayes Factor is an inherently comparative measure of evidence, and can be used to accept the null hypothesis based on the crossing of a prespecified threshold. It is well known that the threshold for concluding evidence of absence on the basis of a Bayes Factor is quite stringent: concluding support for the null demands a relatively large number of observations</w:t>
      </w:r>
      <w:r>
        <w:t xml:space="preserve"> </w:t>
      </w:r>
      <w:r>
        <w:t xml:space="preserve">(A. M. Stefan, Gronau, Schonbrodt, &amp; Wagenmakers, 2019)</w:t>
      </w:r>
      <w:r>
        <w:t xml:space="preserve">. Group-sequential designs also allow researchers to reject the alternative hypothesis in a principled manner, by setting futility bounds on the basis of a</w:t>
      </w:r>
      <w:r>
        <w:t xml:space="preserve"> </w:t>
      </w:r>
      <m:oMath>
        <m:r>
          <m:t>β</m:t>
        </m:r>
      </m:oMath>
      <w:r>
        <w:t xml:space="preserve">-spending function that controls the overall type II error rate. Unlike the SBF and group-sequential procedures, researchers relying on the ISP cannot reject the alternative hypothesis in a manner that either demands crossing a (rather stringent) threshold for absence of evidence or controls overall type II error rates. Indeed, Miller and Ulrich</w:t>
      </w:r>
      <w:r>
        <w:t xml:space="preserve"> </w:t>
      </w:r>
      <w:r>
        <w:t xml:space="preserve">(2020, p. 6)</w:t>
      </w:r>
      <w:r>
        <w:t xml:space="preserve"> </w:t>
      </w:r>
      <w:r>
        <w:t xml:space="preserve">admit that the Independent Segments Procedure</w:t>
      </w:r>
      <w:r>
        <w:t xml:space="preserve"> </w:t>
      </w:r>
      <w:r>
        <w:t xml:space="preserve">“</w:t>
      </w:r>
      <w:r>
        <w:t xml:space="preserve">would not be useful for studies designed to produce evidence for the absence of an effect.</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wishes to test a single, key hypothesis; and does not desire a principled decision rule to reject the alternative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rPr>
                <m:nor/>
                <m:sty m:val="p"/>
              </m:rPr>
              <m:t>ISP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rPr>
                <m:nor/>
                <m:sty m:val="p"/>
              </m:rPr>
              <m:t>ISP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w:t>
      </w:r>
      <w:r>
        <w:t xml:space="preserve"> </w:t>
      </w:r>
      <w:r>
        <w:t xml:space="preserve">(unless you follow the Likelihood paradigm of statistical inference, which is beyond the scope of this paper; Blume, 2002; Goodman &amp; Royall, 1988; Schnuerch &amp; Erdfelder, 2020)</w:t>
      </w:r>
      <w:r>
        <w:t xml:space="preserve">. Ultimately, the question is what is more important to the researcher</w:t>
      </w:r>
      <w:r>
        <w:t xml:space="preserve"> </w:t>
      </w:r>
      <w:r>
        <w:t xml:space="preserve">(D. Lakens, 2021b)</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(Schonbrodt et al.,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(Schonbrodt et al.,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et al., 2004; Goodman, 2007)</w:t>
      </w:r>
      <w:r>
        <w:t xml:space="preserve"> </w:t>
      </w:r>
      <w:r>
        <w:t xml:space="preserve">and Sequential Bayes Factors</w:t>
      </w:r>
      <w:r>
        <w:t xml:space="preserve"> </w:t>
      </w:r>
      <w:r>
        <w:t xml:space="preserve">(Schonbrodt et al., 2017)</w:t>
      </w:r>
      <w:r>
        <w:t xml:space="preserve"> </w:t>
      </w:r>
      <w:r>
        <w:t xml:space="preserve">tends to be small. Thus, group-sequential designs and Sequential Bayes Factors can increase research efficiency at only a slight cost to our ability to estimate the true effect size. No such investigation, however, has been conducted for the Independent Segments Procedure.</w:t>
      </w:r>
    </w:p>
    <w:p>
      <w:pPr>
        <w:pStyle w:val="Textkrper"/>
      </w:pPr>
      <w:r>
        <w:t xml:space="preserve">Of note, because the properties of group-sequential designs are well-studied and understood, bias correction procedures are now widely available for group-sequential designs. That is, rather than relying on a naive, uncorrected effect size estimate stemming from a sequential design (e.g., Cohen’s</w:t>
      </w:r>
      <w:r>
        <w:t xml:space="preserve"> </w:t>
      </w:r>
      <w:r>
        <w:rPr>
          <w:iCs/>
          <w:i/>
        </w:rPr>
        <w:t xml:space="preserve">d</w:t>
      </w:r>
      <w:r>
        <w:t xml:space="preserve">), researchers can use a median unbiased estimator (which can be easily implemented in widely used sequential analysis software such as</w:t>
      </w:r>
      <w:r>
        <w:t xml:space="preserve"> </w:t>
      </w:r>
      <w:r>
        <w:rPr>
          <w:rStyle w:val="VerbatimChar"/>
        </w:rPr>
        <w:t xml:space="preserve">rpact</w:t>
      </w:r>
      <w:r>
        <w:t xml:space="preserve">). A similar bias-correction procedure can be followed for the Sequential Bayes Factor: instead of relying on a naive, uncorrected effect size estimate, a researcher employing a SBF design can use the mean of the posterior distribution as the effect size estimator, which shrinks the estimate in early terminations and thus counteracts the effect size inflation caused by early stopping</w:t>
      </w:r>
      <w:r>
        <w:t xml:space="preserve"> </w:t>
      </w:r>
      <w:r>
        <w:t xml:space="preserve">(Schonbrodt et al., 2017)</w:t>
      </w:r>
      <w:r>
        <w:t xml:space="preserve">. No such bias correction procedure, however, exists for the Independent Segments Procedure. Thus, it is of great interest to study the accuracy of effect size estimation when relying on the Independent Segments Procedure.</w:t>
      </w:r>
    </w:p>
    <w:p>
      <w:pPr>
        <w:pStyle w:val="Textkrper"/>
      </w:pPr>
      <w:r>
        <w:t xml:space="preserve">In the following section, I use Monte 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(Schonbrodt et al.,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Schonbrodt et al.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looks at data (i.e.,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We will compare the properties of the three sequential procedures to a fixed-sample hypothesis test (i.e., a conventional Null Hypothesis Significance Test) paired with an equivalence test.</w:t>
      </w:r>
    </w:p>
    <w:p>
      <w:pPr>
        <w:pStyle w:val="Textkrper"/>
      </w:pPr>
      <w:r>
        <w:t xml:space="preserve">For maximum comparability to the sequential procedures that allow some principled form of support for the null hypothesis (i.e., the Sequential Bayes Factor and the Group-Sequential Designs with binding futility bounds), we combine the fixed-sample hypothesis test with an equivalence test. Conventionally, the Null Hypothesis Significance test is not able to distinguish between failures to reject the null hypothesis due to evidence of absence or absence of evidence. Pairing the fixed sample hypothesis test with an equivalence test overcomes this limitation, by allowing us to reject the presence of a difference more extreme than a smallest effect size of interest</w:t>
      </w:r>
      <w:r>
        <w:t xml:space="preserve"> </w:t>
      </w:r>
      <w:r>
        <w:t xml:space="preserve">(D. Lakens, Scheel, &amp; Isager, 2018)</w:t>
      </w:r>
      <w:r>
        <w:t xml:space="preserve">. In the following section, I briefly outline how each property under study – error rates, efficiency, and accuracy in effect size estimation –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 sample hypothesis test paired with an equivalence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t>10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 paired with an equivalence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t>10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fixed-sample hypothesis test paired with an equivalence test,</w:t>
      </w:r>
      <w:r>
        <w:t xml:space="preserve"> </w:t>
      </w:r>
      <m:oMath>
        <m:r>
          <m:t>δ</m:t>
        </m:r>
      </m:oMath>
      <w:r>
        <w:t xml:space="preserve"> </w:t>
      </w:r>
      <w:r>
        <w:t xml:space="preserve">= 0 and the decision was made to conclude statistical equivalence</w:t>
      </w:r>
      <w:r>
        <w:t xml:space="preserve"> </w:t>
      </w:r>
      <w:r>
        <w:t xml:space="preserve">(</w:t>
      </w:r>
      <w:r>
        <w:rPr>
          <w:iCs/>
          <w:i/>
        </w:rPr>
        <w:t xml:space="preserve">p</w:t>
      </w:r>
      <w:r>
        <w:t xml:space="preserve"> </w:t>
      </w:r>
      <m:oMath>
        <m:r>
          <m:rPr>
            <m:sty m:val="p"/>
          </m:rPr>
          <m:t>≤</m:t>
        </m:r>
        <m:r>
          <m:t>α</m:t>
        </m:r>
      </m:oMath>
      <w:r>
        <w:t xml:space="preserve"> </w:t>
      </w:r>
      <w:r>
        <w:t xml:space="preserve">for both</w:t>
      </w:r>
      <w:r>
        <w:t xml:space="preserve"> </w:t>
      </w:r>
      <w:r>
        <w:rPr>
          <w:iCs/>
          <w:i/>
        </w:rPr>
        <w:t xml:space="preserve">p</w:t>
      </w:r>
      <w:r>
        <w:t xml:space="preserve">-values of a Two One-Sided Tests [TOST] procedure; D. Lakens et al., 2018)</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01</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fixed-sample hypothesis test paired with an equivalence test,</w:t>
      </w:r>
      <w:r>
        <w:t xml:space="preserve"> </w:t>
      </w:r>
      <m:oMath>
        <m:r>
          <m:t>δ</m:t>
        </m:r>
        <m:r>
          <m:rPr>
            <m:sty m:val="p"/>
          </m:rPr>
          <m:t>&gt;</m:t>
        </m:r>
        <m:r>
          <m:t>0</m:t>
        </m:r>
      </m:oMath>
      <w:r>
        <w:t xml:space="preserve"> </w:t>
      </w:r>
      <w:r>
        <w:t xml:space="preserve">and the decision was made to conclude statistical equivalence (</w:t>
      </w:r>
      <m:oMath>
        <m:sSub>
          <m:e>
            <m:r>
              <m:t>p</m:t>
            </m:r>
          </m:e>
          <m:sub>
            <m:r>
              <m:rPr>
                <m:nor/>
                <m:sty m:val="p"/>
              </m:rPr>
              <m:t>TOST</m:t>
            </m:r>
            <m:r>
              <m:rPr>
                <m:sty m:val="p"/>
              </m:rPr>
              <m:t>,</m:t>
            </m:r>
            <m:r>
              <m:t>1</m:t>
            </m:r>
            <m:r>
              <m:rPr>
                <m:sty m:val="p"/>
              </m:rPr>
              <m:t>:</m:t>
            </m:r>
            <m:r>
              <m:t>2</m:t>
            </m:r>
          </m:sub>
        </m:sSub>
      </m:oMath>
      <w:r>
        <w:t xml:space="preserve"> </w:t>
      </w:r>
      <m:oMath>
        <m:r>
          <m:rPr>
            <m:sty m:val="p"/>
          </m:rPr>
          <m:t>≤</m:t>
        </m:r>
        <m:r>
          <m:t>α</m:t>
        </m:r>
      </m:oMath>
      <w:r>
        <w:t xml:space="preserve">)</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01</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paired with an equivalence test, the procedure failed to reject the null hypothesis or conclude statistical equivalence (</w:t>
      </w:r>
      <m:oMath>
        <m:sSub>
          <m:e>
            <m:r>
              <m:t>p</m:t>
            </m:r>
          </m:e>
          <m:sub>
            <m:r>
              <m:rPr>
                <m:nor/>
                <m:sty m:val="p"/>
              </m:rPr>
              <m:t>fixed</m:t>
            </m:r>
          </m:sub>
        </m:sSub>
        <m:r>
          <m:rPr>
            <m:sty m:val="p"/>
          </m:rPr>
          <m:t>&gt;</m:t>
        </m:r>
        <m:r>
          <m:t>α</m:t>
        </m:r>
      </m:oMath>
      <w:r>
        <w:t xml:space="preserve"> </w:t>
      </w:r>
      <w:r>
        <w:t xml:space="preserve">and</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w:t>
      </w:r>
      <w:r>
        <w:t xml:space="preserve">)</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t>10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and the mean squared error of effect size estimates (i.e., the sum of the squared bias and the variance of effect size estimates) derived from each procedure. For all procedures, accuracy is evaluated for the obtained, uncorrected effect size estimates — in addition, for procedures that have a bias-adjusted estimator available (i.e., the Sequential Bayes Factor and the group-sequential designs), I also evaluate the accuracy of the bias-corrected estimates.</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paired with an equivalence test</w:t>
      </w:r>
      <w:r>
        <w:t xml:space="preserve"> </w:t>
      </w:r>
      <w:r>
        <w:t xml:space="preserve">(D. Lakens, 2014)</w:t>
      </w:r>
      <w:r>
        <w:t xml:space="preserve">,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et al., 1984; Wassmer &amp; Brannath, 2016)</w:t>
      </w:r>
      <w:r>
        <w:t xml:space="preserve">, and the sequential Bayes Factor</w:t>
      </w:r>
      <w:r>
        <w:t xml:space="preserve"> </w:t>
      </w:r>
      <w:r>
        <w:t xml:space="preserve">(Schonbrodt et al.,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at [link] and reproducible analysis scripts are available at [link]. For the frequentist procedures (i.e., the fixed-sample N-P procedure paired with an equivalence test,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 The equivalence bounds to achieve 80% power with N = 51 are a lower equivalence bound of</w:t>
      </w:r>
      <w:r>
        <w:t xml:space="preserve"> </w:t>
      </w:r>
      <m:oMath>
        <m:sSub>
          <m:e>
            <m:r>
              <m:t>Δ</m:t>
            </m:r>
          </m:e>
          <m:sub>
            <m:r>
              <m:t>L</m:t>
            </m:r>
          </m:sub>
        </m:sSub>
      </m:oMath>
      <w:r>
        <w:t xml:space="preserve"> </w:t>
      </w:r>
      <w:r>
        <w:t xml:space="preserve">= -0.58 and an upper equivalence bound of</w:t>
      </w:r>
      <w:r>
        <w:t xml:space="preserve"> </w:t>
      </w:r>
      <m:oMath>
        <m:sSub>
          <m:e>
            <m:r>
              <m:t>Δ</m:t>
            </m:r>
          </m:e>
          <m:sub>
            <m:r>
              <m:t>U</m:t>
            </m:r>
          </m:sub>
        </m:sSub>
      </m:oMath>
      <w:r>
        <w:t xml:space="preserve"> </w:t>
      </w:r>
      <w:r>
        <w:t xml:space="preserve">= 0.58.</w:t>
      </w:r>
    </w:p>
    <w:p>
      <w:pPr>
        <w:pStyle w:val="Textkrper"/>
      </w:pPr>
      <w:r>
        <w:t xml:space="preserve">All sequential procedures, with the exception of the O’Brien-Fleming-like GS design, are set to a maximum number of 3 equally spaced looks (i.e., the interim data are looked at twice, after 33% and 67% of the data are collected, and the final look takes place when all data are collected). In contrast, because the O’Brien-Fleming-like GS design sets such a stringent</w:t>
      </w:r>
      <w:r>
        <w:t xml:space="preserve"> </w:t>
      </w:r>
      <m:oMath>
        <m:r>
          <m:t>α</m:t>
        </m:r>
      </m:oMath>
      <w:r>
        <w:t xml:space="preserve"> </w:t>
      </w:r>
      <w:r>
        <w:t xml:space="preserve">threshold in the first look, it is often recommended to have the first look take place on a larger fraction of the data (Daniël Lakens, personal communication, December 19, 2020). In this case, we implemented the O’Brien-Fleming-like GS design with the two interim looks taking place after 50% and 75% of the data, respectively, are collected.</w:t>
      </w:r>
    </w:p>
    <w:p>
      <w:pPr>
        <w:pStyle w:val="Textkrper"/>
      </w:pPr>
      <w:r>
        <w:t xml:space="preserve">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rPr>
                <m:nor/>
                <m:sty m:val="p"/>
              </m:rPr>
              <m:t>ISP</m:t>
            </m:r>
          </m:sub>
        </m:sSub>
      </m:oMath>
      <w:r>
        <w:t xml:space="preserve"> </w:t>
      </w:r>
      <w:r>
        <w:t xml:space="preserve">= 25 per group per segment. 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.024, and</w:t>
      </w:r>
      <w:r>
        <w:t xml:space="preserve"> </w:t>
      </w:r>
      <m:oMath>
        <m:sSub>
          <m:e>
            <m:r>
              <m:t>α</m:t>
            </m:r>
          </m:e>
          <m:sub>
            <m:r>
              <m:t>1</m:t>
            </m:r>
            <m:r>
              <m:rPr>
                <m:sty m:val="p"/>
              </m:rPr>
              <m:t>,</m:t>
            </m:r>
            <m:r>
              <m:t>3</m:t>
            </m:r>
          </m:sub>
        </m:sSub>
      </m:oMath>
      <w:r>
        <w:t xml:space="preserve"> </w:t>
      </w:r>
      <w:r>
        <w:t xml:space="preserve">= .033 at the first, second, and third look for the Pocock-like design and</w:t>
      </w:r>
      <w:r>
        <w:t xml:space="preserve"> </w:t>
      </w:r>
      <m:oMath>
        <m:sSub>
          <m:e>
            <m:r>
              <m:t>α</m:t>
            </m:r>
          </m:e>
          <m:sub>
            <m:r>
              <m:t>1</m:t>
            </m:r>
            <m:r>
              <m:rPr>
                <m:sty m:val="p"/>
              </m:rPr>
              <m:t>,</m:t>
            </m:r>
            <m:r>
              <m:t>1</m:t>
            </m:r>
          </m:sub>
        </m:sSub>
      </m:oMath>
      <w:r>
        <w:t xml:space="preserve"> </w:t>
      </w:r>
      <w:r>
        <w:t xml:space="preserve">= .0056,</w:t>
      </w:r>
      <w:r>
        <w:t xml:space="preserve"> </w:t>
      </w:r>
      <m:oMath>
        <m:sSub>
          <m:e>
            <m:r>
              <m:t>α</m:t>
            </m:r>
          </m:e>
          <m:sub>
            <m:r>
              <m:t>1</m:t>
            </m:r>
            <m:r>
              <m:rPr>
                <m:sty m:val="p"/>
              </m:rPr>
              <m:t>,</m:t>
            </m:r>
            <m:r>
              <m:t>2</m:t>
            </m:r>
          </m:sub>
        </m:sSub>
      </m:oMath>
      <w:r>
        <w:t xml:space="preserve"> </w:t>
      </w:r>
      <w:r>
        <w:t xml:space="preserve">= .022, and</w:t>
      </w:r>
      <w:r>
        <w:t xml:space="preserve"> </w:t>
      </w:r>
      <m:oMath>
        <m:sSub>
          <m:e>
            <m:r>
              <m:t>α</m:t>
            </m:r>
          </m:e>
          <m:sub>
            <m:r>
              <m:t>1</m:t>
            </m:r>
            <m:r>
              <m:rPr>
                <m:sty m:val="p"/>
              </m:rPr>
              <m:t>,</m:t>
            </m:r>
            <m:r>
              <m:t>3</m:t>
            </m:r>
          </m:sub>
        </m:sSub>
      </m:oMath>
      <w:r>
        <w:t xml:space="preserve"> </w:t>
      </w:r>
      <w:r>
        <w:t xml:space="preserve">= .052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.38 and</w:t>
      </w:r>
      <w:r>
        <w:t xml:space="preserve"> </w:t>
      </w:r>
      <m:oMath>
        <m:sSub>
          <m:e>
            <m:r>
              <m:t>α</m:t>
            </m:r>
          </m:e>
          <m:sub>
            <m:r>
              <m:t>0</m:t>
            </m:r>
            <m:r>
              <m:rPr>
                <m:sty m:val="p"/>
              </m:rPr>
              <m:t>,</m:t>
            </m:r>
            <m:r>
              <m:t>2</m:t>
            </m:r>
          </m:sub>
        </m:sSub>
      </m:oMath>
      <w:r>
        <w:t xml:space="preserve"> </w:t>
      </w:r>
      <w:r>
        <w:t xml:space="preserve">= .13 at the first and second look for the Pocock-like design and</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.14 at the first and second look for the O’Brien-Fleming-like design. For the Pocock-like design, the required sample size</w:t>
      </w:r>
      <w:r>
        <w:t xml:space="preserve"> </w:t>
      </w:r>
      <m:oMath>
        <m:sSub>
          <m:e>
            <m:r>
              <m:t>N</m:t>
            </m:r>
          </m:e>
          <m:sub>
            <m:r>
              <m:rPr>
                <m:nor/>
                <m:sty m:val="p"/>
              </m:rPr>
              <m:t>Pocock</m:t>
            </m:r>
          </m:sub>
        </m:sSub>
      </m:oMath>
      <w:r>
        <w:t xml:space="preserve"> </w:t>
      </w:r>
      <w:r>
        <w:t xml:space="preserve">= 22 per group per look; for the O’Brien-Fleming-like design, the required sample size</w:t>
      </w:r>
      <w:r>
        <w:t xml:space="preserve"> </w:t>
      </w:r>
      <m:oMath>
        <m:sSub>
          <m:e>
            <m:r>
              <m:t>N</m:t>
            </m:r>
          </m:e>
          <m:sub>
            <m:r>
              <m:rPr>
                <m:nor/>
                <m:sty m:val="p"/>
              </m:rPr>
              <m:t>O’Brien-Fleming</m:t>
            </m:r>
          </m:sub>
        </m:sSub>
      </m:oMath>
      <w:r>
        <w:t xml:space="preserve"> </w:t>
      </w:r>
      <w:r>
        <w:t xml:space="preserve">= 28 per group for the first look, and 14 per group for the last two looks.</w:t>
      </w:r>
    </w:p>
    <w:p>
      <w:pPr>
        <w:pStyle w:val="Textkrper"/>
      </w:pPr>
      <w:r>
        <w:t xml:space="preserve">The parameters for the Sequential Bayes Factor procedure were chosen to allow for maximum comparability with the frequentist sequential procedures, which correspond to a one-tailed hypothesis test powered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and</w:t>
      </w:r>
      <w:r>
        <w:t xml:space="preserve"> </w:t>
      </w:r>
      <m:oMath>
        <m:sSub>
          <m:e>
            <m:r>
              <m:t>k</m:t>
            </m:r>
          </m:e>
          <m:sub>
            <m:r>
              <m:t>m</m:t>
            </m:r>
            <m:r>
              <m:t>a</m:t>
            </m:r>
            <m:r>
              <m:t>x</m:t>
            </m:r>
          </m:sub>
        </m:sSub>
        <m:r>
          <m:rPr>
            <m:sty m:val="p"/>
          </m:rPr>
          <m:t>=</m:t>
        </m:r>
        <m:r>
          <m:t>3</m:t>
        </m:r>
      </m:oMath>
      <w:r>
        <w:t xml:space="preserve"> </w:t>
      </w:r>
      <w:r>
        <w:t xml:space="preserve">looks. To calculate the Bayes Factor, I used an informed prior (a normal distribution centered at the hypothesized effect size,</w:t>
      </w:r>
      <w:r>
        <w:t xml:space="preserve"> </w:t>
      </w:r>
      <m:oMath>
        <m:r>
          <m:t>δ</m:t>
        </m:r>
        <m:r>
          <m:rPr>
            <m:sty m:val="p"/>
          </m:rPr>
          <m:t>=</m:t>
        </m:r>
        <m:r>
          <m:t>0.5</m:t>
        </m:r>
      </m:oMath>
      <w:r>
        <w:t xml:space="preserve">). To incorporate information about the sidedness of the hypothesized effect, the prior distribution was truncated at</w:t>
      </w:r>
      <w:r>
        <w:t xml:space="preserve"> </w:t>
      </w:r>
      <m:oMath>
        <m:r>
          <m:t>δ</m:t>
        </m:r>
        <m:r>
          <m:rPr>
            <m:sty m:val="p"/>
          </m:rPr>
          <m:t>=</m:t>
        </m:r>
        <m:r>
          <m:t>0</m:t>
        </m:r>
      </m:oMath>
      <w:r>
        <w:t xml:space="preserve"> </w:t>
      </w:r>
      <w:r>
        <w:t xml:space="preserve">to include only positive values. Thus, like in the one-sided</w:t>
      </w:r>
      <w:r>
        <w:t xml:space="preserve"> </w:t>
      </w:r>
      <w:r>
        <w:rPr>
          <w:iCs/>
          <w:i/>
        </w:rPr>
        <w:t xml:space="preserve">t</w:t>
      </w:r>
      <w:r>
        <w:t xml:space="preserve">-tests described above, we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t>1</m:t>
            </m:r>
          </m:sub>
        </m:sSub>
        <m:r>
          <m:rPr>
            <m:sty m:val="p"/>
          </m:rPr>
          <m:t>:</m:t>
        </m:r>
        <m:r>
          <m:t> </m:t>
        </m:r>
        <m:r>
          <m:t>δ</m:t>
        </m:r>
        <m:r>
          <m:rPr>
            <m:sty m:val="p"/>
          </m:rPr>
          <m:t>&gt;</m:t>
        </m:r>
        <m:r>
          <m:t>0</m:t>
        </m:r>
      </m:oMath>
      <w:r>
        <w:t xml:space="preserve">.</w:t>
      </w:r>
    </w:p>
    <w:p>
      <w:pPr>
        <w:pStyle w:val="Textkrper"/>
      </w:pPr>
      <w:r>
        <w:t xml:space="preserve">For the SBF procedure, I ran simulations to choose an optimal sample size (paired to the other procedures under study, with</w:t>
      </w:r>
      <w:r>
        <w:t xml:space="preserve"> </w:t>
      </w:r>
      <m:oMath>
        <m:sSub>
          <m:e>
            <m:r>
              <m:t>k</m:t>
            </m:r>
          </m:e>
          <m:sub>
            <m:r>
              <m:t>m</m:t>
            </m:r>
            <m:r>
              <m:t>a</m:t>
            </m:r>
            <m:r>
              <m:t>x</m:t>
            </m:r>
          </m:sub>
        </m:sSub>
      </m:oMath>
      <w:r>
        <w:t xml:space="preserve"> </w:t>
      </w:r>
      <w:r>
        <w:t xml:space="preserve">= 3 equally spaced looks) and Bayes Factor threshold, such that the overall error rate would approach that of the frequentist procedures (i.e., a false negative rate of 20% and a false positive rate of 5%). In the main paper, I report the results of a max-SBF procedure with the Bayes Factor threshold set to 3 for</w:t>
      </w:r>
      <w:r>
        <w:t xml:space="preserve"> </w:t>
      </w:r>
      <m:oMath>
        <m:sSub>
          <m:e>
            <m:r>
              <m:t>H</m:t>
            </m:r>
          </m:e>
          <m:sub>
            <m:r>
              <m:t>1</m:t>
            </m:r>
          </m:sub>
        </m:sSub>
      </m:oMath>
      <w:r>
        <w:t xml:space="preserve"> </w:t>
      </w:r>
      <w:r>
        <w:t xml:space="preserve">and 1/3 for</w:t>
      </w:r>
      <w:r>
        <w:t xml:space="preserve"> </w:t>
      </w:r>
      <m:oMath>
        <m:sSub>
          <m:e>
            <m:r>
              <m:t>H</m:t>
            </m:r>
          </m:e>
          <m:sub>
            <m:r>
              <m:t>0</m:t>
            </m:r>
          </m:sub>
        </m:sSub>
      </m:oMath>
      <w:r>
        <w:t xml:space="preserve">, the sample size set to</w:t>
      </w:r>
      <w:r>
        <w:t xml:space="preserve"> </w:t>
      </w:r>
      <m:oMath>
        <m:sSub>
          <m:e>
            <m:r>
              <m:t>N</m:t>
            </m:r>
          </m:e>
          <m:sub>
            <m:r>
              <m:rPr>
                <m:nor/>
                <m:sty m:val="p"/>
              </m:rPr>
              <m:t>Bayes</m:t>
            </m:r>
          </m:sub>
        </m:sSub>
      </m:oMath>
      <w:r>
        <w:t xml:space="preserve"> </w:t>
      </w:r>
      <w:r>
        <w:t xml:space="preserve">= 25 per group per look with</w:t>
      </w:r>
      <w:r>
        <w:t xml:space="preserve"> </w:t>
      </w:r>
      <m:oMath>
        <m:sSub>
          <m:e>
            <m:r>
              <m:t>k</m:t>
            </m:r>
          </m:e>
          <m:sub>
            <m:r>
              <m:t>m</m:t>
            </m:r>
            <m:r>
              <m:t>a</m:t>
            </m:r>
            <m:r>
              <m:t>x</m:t>
            </m:r>
          </m:sub>
        </m:sSub>
      </m:oMath>
      <w:r>
        <w:t xml:space="preserve"> </w:t>
      </w:r>
      <w:r>
        <w:t xml:space="preserve">= 3 looks, and a normal prior distribution centered at</w:t>
      </w:r>
      <w:r>
        <w:t xml:space="preserve"> </w:t>
      </w:r>
      <m:oMath>
        <m:r>
          <m:t>δ</m:t>
        </m:r>
        <m:r>
          <m:rPr>
            <m:sty m:val="p"/>
          </m:rPr>
          <m:t>=</m:t>
        </m:r>
        <m:r>
          <m:t>0.5</m:t>
        </m:r>
      </m:oMath>
      <w:r>
        <w:t xml:space="preserve"> </w:t>
      </w:r>
      <w:r>
        <w:t xml:space="preserve">with</w:t>
      </w:r>
      <w:r>
        <w:t xml:space="preserve"> </w:t>
      </w:r>
      <m:oMath>
        <m:sSup>
          <m:e>
            <m:r>
              <m:t>σ</m:t>
            </m:r>
          </m:e>
          <m:sup>
            <m:r>
              <m:t>2</m:t>
            </m:r>
          </m:sup>
        </m:sSup>
        <m:r>
          <m:rPr>
            <m:sty m:val="p"/>
          </m:rPr>
          <m:t>=</m:t>
        </m:r>
        <m:r>
          <m:t>0.3</m:t>
        </m:r>
      </m:oMath>
      <w:r>
        <w:t xml:space="preserve">. In the supplemental materials at [link], results can be found for simulations that vary additional parameters for the max-SBF procedure. 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looks.</w:t>
      </w:r>
    </w:p>
    <w:p>
      <w:pPr>
        <w:pStyle w:val="Textkrper"/>
      </w:pPr>
      <w:r>
        <w:t xml:space="preserve">For the simulations, 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t</m:t>
            </m:r>
            <m:r>
              <m:t>e</m:t>
            </m:r>
            <m:r>
              <m:t>x</m:t>
            </m:r>
            <m:r>
              <m:t>t</m:t>
            </m:r>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Run a one-tailed, two-sample equivalence test (TOST) on the mean difference between the two samples</w:t>
      </w:r>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m:t>
        </m:r>
        <m:r>
          <m:t>α</m:t>
        </m:r>
      </m:oMath>
      <w:r>
        <w:t xml:space="preserve">: decide to reject</w:t>
      </w:r>
      <w:r>
        <w:t xml:space="preserve"> </w:t>
      </w:r>
      <m:oMath>
        <m:sSub>
          <m:e>
            <m:r>
              <m:t>H</m:t>
            </m:r>
          </m:e>
          <m:sub>
            <m:r>
              <m:t>1</m:t>
            </m:r>
          </m:sub>
        </m:sSub>
      </m:oMath>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decide not to reject</w:t>
      </w:r>
      <w:r>
        <w:t xml:space="preserve"> </w:t>
      </w:r>
      <m:oMath>
        <m:sSub>
          <m:e>
            <m:r>
              <m:t>H</m:t>
            </m:r>
          </m:e>
          <m:sub>
            <m:r>
              <m:t>1</m:t>
            </m:r>
          </m:sub>
        </m:sSub>
      </m:oMath>
      <w:r>
        <w:t xml:space="preserve"> </w:t>
      </w:r>
      <w:r>
        <w:t xml:space="preserve">(inconclusive)</w:t>
      </w:r>
    </w:p>
    <w:p>
      <w:pPr>
        <w:numPr>
          <w:ilvl w:val="0"/>
          <w:numId w:val="1030"/>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30"/>
        </w:numPr>
        <w:pStyle w:val="Compact"/>
      </w:pPr>
      <w:r>
        <w:t xml:space="preserve">Repeat 10,000 times</w:t>
      </w:r>
    </w:p>
    <w:bookmarkEnd w:id="30"/>
    <w:bookmarkStart w:id="31" w:name="X462c13839b61195698cdd7292b2507af8cc7d10"/>
    <w:p>
      <w:pPr>
        <w:pStyle w:val="berschrift2"/>
      </w:pPr>
      <w:r>
        <w:rPr>
          <w:iCs/>
          <w:i/>
        </w:rPr>
        <w:t xml:space="preserve">Pocock-like (O’Brien-Fleming-like) Group-sequential procedures</w:t>
      </w:r>
    </w:p>
    <w:p>
      <w:pPr>
        <w:numPr>
          <w:ilvl w:val="0"/>
          <w:numId w:val="1031"/>
        </w:numPr>
        <w:pStyle w:val="Compact"/>
      </w:pPr>
      <w:r>
        <w:t xml:space="preserve">Randomly sample</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observations from each of the two specified populations</w:t>
      </w:r>
    </w:p>
    <w:p>
      <w:pPr>
        <w:numPr>
          <w:ilvl w:val="0"/>
          <w:numId w:val="1031"/>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2"/>
        </w:numPr>
        <w:pStyle w:val="Compact"/>
      </w:pPr>
      <w:r>
        <w:t xml:space="preserve">if</w:t>
      </w:r>
      <w:r>
        <w:t xml:space="preserve"> </w:t>
      </w:r>
      <m:oMath>
        <m:r>
          <m:t>p</m:t>
        </m:r>
        <m:r>
          <m:rPr>
            <m:sty m:val="p"/>
          </m:rPr>
          <m:t>&gt;</m:t>
        </m:r>
        <m:r>
          <m:t> </m:t>
        </m:r>
        <m:sSub>
          <m:e>
            <m:r>
              <m:t>α</m:t>
            </m:r>
          </m:e>
          <m:sub>
            <m:r>
              <m:t>0</m:t>
            </m:r>
          </m:sub>
        </m:sSub>
      </m:oMath>
      <w:r>
        <w:t xml:space="preserve">: decide to reject</w:t>
      </w:r>
      <w:r>
        <w:t xml:space="preserve"> </w:t>
      </w:r>
      <m:oMath>
        <m:sSub>
          <m:e>
            <m:r>
              <m:t>H</m:t>
            </m:r>
          </m:e>
          <m:sub>
            <m:r>
              <m:t>1</m:t>
            </m:r>
          </m:sub>
        </m:sSub>
      </m:oMath>
      <w:r>
        <w:t xml:space="preserve"> </w:t>
      </w:r>
      <w:r>
        <w:t xml:space="preserve">and end the experiment (</w:t>
      </w:r>
      <w:r>
        <w:t xml:space="preserve">“</w:t>
      </w:r>
      <w:r>
        <w:t xml:space="preserve">stop for futility</w:t>
      </w:r>
      <w:r>
        <w:t xml:space="preserve">”</w:t>
      </w:r>
      <w:r>
        <w:t xml:space="preserve">)</w:t>
      </w:r>
    </w:p>
    <w:p>
      <w:pPr>
        <w:numPr>
          <w:ilvl w:val="0"/>
          <w:numId w:val="1032"/>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additional observations and repeat step 2 on the cumulative data</w:t>
      </w:r>
    </w:p>
    <w:p>
      <w:pPr>
        <w:numPr>
          <w:ilvl w:val="0"/>
          <w:numId w:val="1033"/>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4"/>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4"/>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 (inconclusive)</w:t>
      </w:r>
    </w:p>
    <w:p>
      <w:pPr>
        <w:numPr>
          <w:ilvl w:val="0"/>
          <w:numId w:val="1035"/>
        </w:numPr>
        <w:pStyle w:val="Compact"/>
      </w:pPr>
      <w:r>
        <w:t xml:space="preserve">To estimate the naive (i.e., uncorrected) standardized effect size, calculate Cohen’s</w:t>
      </w:r>
      <w:r>
        <w:t xml:space="preserve"> </w:t>
      </w:r>
      <w:r>
        <w:rPr>
          <w:iCs/>
          <w:i/>
        </w:rPr>
        <w:t xml:space="preserve">d</w:t>
      </w:r>
    </w:p>
    <w:p>
      <w:pPr>
        <w:numPr>
          <w:ilvl w:val="0"/>
          <w:numId w:val="1035"/>
        </w:numPr>
        <w:pStyle w:val="Compact"/>
      </w:pPr>
      <w:r>
        <w:t xml:space="preserve">To estimate the bias-adjusted standardized effect size, calculate the median unbiased effect estimate</w:t>
      </w:r>
    </w:p>
    <w:p>
      <w:pPr>
        <w:numPr>
          <w:ilvl w:val="0"/>
          <w:numId w:val="1035"/>
        </w:numPr>
        <w:pStyle w:val="Compact"/>
      </w:pPr>
      <w:r>
        <w:t xml:space="preserve">Repeat 10,000 times</w:t>
      </w:r>
    </w:p>
    <w:bookmarkEnd w:id="31"/>
    <w:bookmarkStart w:id="32" w:name="sequential-bayes-factor-1"/>
    <w:p>
      <w:pPr>
        <w:pStyle w:val="berschrift2"/>
      </w:pPr>
      <w:r>
        <w:rPr>
          <w:iCs/>
          <w:i/>
        </w:rPr>
        <w:t xml:space="preserve">Sequential-Bayes Factor</w:t>
      </w:r>
    </w:p>
    <w:p>
      <w:pPr>
        <w:numPr>
          <w:ilvl w:val="0"/>
          <w:numId w:val="1036"/>
        </w:numPr>
        <w:pStyle w:val="Compact"/>
      </w:pPr>
      <w:r>
        <w:t xml:space="preserve">Randomly sample</w:t>
      </w:r>
      <w:r>
        <w:t xml:space="preserve"> </w:t>
      </w:r>
      <m:oMath>
        <m:sSub>
          <m:e>
            <m:r>
              <m:t>N</m:t>
            </m:r>
          </m:e>
          <m:sub>
            <m:r>
              <m:rPr>
                <m:nor/>
                <m:sty m:val="p"/>
              </m:rPr>
              <m:t>Bayes</m:t>
            </m:r>
          </m:sub>
        </m:sSub>
      </m:oMath>
      <w:r>
        <w:t xml:space="preserve"> </w:t>
      </w:r>
      <w:r>
        <w:t xml:space="preserve">observations from each of the two specified populations</w:t>
      </w:r>
    </w:p>
    <w:p>
      <w:pPr>
        <w:numPr>
          <w:ilvl w:val="0"/>
          <w:numId w:val="1036"/>
        </w:numPr>
        <w:pStyle w:val="Compact"/>
      </w:pPr>
      <w:r>
        <w:t xml:space="preserve">Run a one-sided, two-sample Bayes Factor</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if</w:t>
      </w:r>
      <w:r>
        <w:t xml:space="preserve"> </w:t>
      </w:r>
      <m:oMath>
        <m:r>
          <m:t>B</m:t>
        </m:r>
        <m:sSub>
          <m:e>
            <m:r>
              <m:t>F</m:t>
            </m:r>
          </m:e>
          <m:sub>
            <m:r>
              <m:t>10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t>1</m:t>
            </m:r>
          </m:sub>
        </m:sSub>
      </m:oMath>
      <w:r>
        <w:t xml:space="preserve">) and end the experiment</w:t>
      </w:r>
    </w:p>
    <w:p>
      <w:pPr>
        <w:numPr>
          <w:ilvl w:val="0"/>
          <w:numId w:val="1037"/>
        </w:numPr>
        <w:pStyle w:val="Compact"/>
      </w:pPr>
      <w:r>
        <w:t xml:space="preserve">if</w:t>
      </w:r>
      <w:r>
        <w:t xml:space="preserve"> </w:t>
      </w:r>
      <m:oMath>
        <m:r>
          <m:t>B</m:t>
        </m:r>
        <m:sSub>
          <m:e>
            <m:r>
              <m:t>F</m:t>
            </m:r>
          </m:e>
          <m:sub>
            <m:r>
              <m:t>10</m:t>
            </m:r>
          </m:sub>
        </m:sSub>
        <m:r>
          <m:rPr>
            <m:sty m:val="p"/>
          </m:rPr>
          <m:t>≤</m:t>
        </m:r>
        <m:r>
          <m:t>1</m:t>
        </m:r>
        <m:r>
          <m:rPr>
            <m:sty m:val="p"/>
          </m:rPr>
          <m:t>/</m:t>
        </m:r>
        <m:r>
          <m:t>3</m:t>
        </m:r>
      </m:oMath>
      <w:r>
        <w:t xml:space="preserve">: decide to reject</w:t>
      </w:r>
      <w:r>
        <w:t xml:space="preserve"> </w:t>
      </w:r>
      <m:oMath>
        <m:sSub>
          <m:e>
            <m:r>
              <m:t>H</m:t>
            </m:r>
          </m:e>
          <m:sub>
            <m:r>
              <m:t>1</m:t>
            </m:r>
          </m:sub>
        </m:sSub>
      </m:oMath>
      <w:r>
        <w:t xml:space="preserve"> </w:t>
      </w:r>
      <w:r>
        <w:t xml:space="preserve">(support</w:t>
      </w:r>
      <w:r>
        <w:t xml:space="preserve"> </w:t>
      </w:r>
      <m:oMath>
        <m:sSub>
          <m:e>
            <m:r>
              <m:t>H</m:t>
            </m:r>
          </m:e>
          <m:sub>
            <m:r>
              <m:t>0</m:t>
            </m:r>
          </m:sub>
        </m:sSub>
      </m:oMath>
      <w:r>
        <w:t xml:space="preserve">) and end the experiment</w:t>
      </w:r>
    </w:p>
    <w:p>
      <w:pPr>
        <w:numPr>
          <w:ilvl w:val="0"/>
          <w:numId w:val="1037"/>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rPr>
                <m:nor/>
                <m:sty m:val="p"/>
              </m:rPr>
              <m:t>Bayes</m:t>
            </m:r>
          </m:sub>
        </m:sSub>
      </m:oMath>
      <w:r>
        <w:t xml:space="preserve"> </w:t>
      </w:r>
      <w:r>
        <w:t xml:space="preserve">additional observations and repeat step 2 on the cumulative data</w:t>
      </w:r>
    </w:p>
    <w:p>
      <w:pPr>
        <w:numPr>
          <w:ilvl w:val="0"/>
          <w:numId w:val="1038"/>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rPr>
                <m:nor/>
                <m:sty m:val="p"/>
              </m:rPr>
              <m:t>Bayes</m:t>
            </m:r>
          </m:sub>
        </m:sSub>
        <m:r>
          <m:rPr>
            <m:sty m:val="p"/>
          </m:rPr>
          <m:t>*</m:t>
        </m:r>
        <m:sSub>
          <m:e>
            <m:r>
              <m:t>k</m:t>
            </m:r>
          </m:e>
          <m:sub>
            <m:r>
              <m:t>m</m:t>
            </m:r>
            <m:r>
              <m:t>a</m:t>
            </m:r>
            <m:r>
              <m:t>x</m:t>
            </m:r>
          </m:sub>
        </m:sSub>
      </m:oMath>
      <w:r>
        <w:t xml:space="preserve">) has been reached</w:t>
      </w:r>
    </w:p>
    <w:p>
      <w:pPr>
        <w:numPr>
          <w:ilvl w:val="0"/>
          <w:numId w:val="1038"/>
        </w:numPr>
        <w:pStyle w:val="Compact"/>
      </w:pPr>
      <w:r>
        <w:t xml:space="preserve">To estimate the uncorrected standardized effect size, calculate Cohen’s</w:t>
      </w:r>
      <w:r>
        <w:t xml:space="preserve"> </w:t>
      </w:r>
      <w:r>
        <w:rPr>
          <w:iCs/>
          <w:i/>
        </w:rPr>
        <w:t xml:space="preserve">d</w:t>
      </w:r>
    </w:p>
    <w:p>
      <w:pPr>
        <w:numPr>
          <w:ilvl w:val="0"/>
          <w:numId w:val="1038"/>
        </w:numPr>
        <w:pStyle w:val="Compact"/>
      </w:pPr>
      <w:r>
        <w:t xml:space="preserve">To estimate the bias-adjusted standardized effect size, calculate the mean of the posterior distribution using a two-sided model</w:t>
      </w:r>
      <w:r>
        <w:t xml:space="preserve"> </w:t>
      </w:r>
      <w:r>
        <w:t xml:space="preserve">(Van Doorn et al., 2020)</w:t>
      </w:r>
    </w:p>
    <w:p>
      <w:pPr>
        <w:numPr>
          <w:ilvl w:val="0"/>
          <w:numId w:val="1038"/>
        </w:numPr>
        <w:pStyle w:val="Compact"/>
      </w:pPr>
      <w:r>
        <w:t xml:space="preserve">Repeat 10,000 times</w:t>
      </w:r>
    </w:p>
    <w:bookmarkEnd w:id="32"/>
    <w:bookmarkStart w:id="33" w:name="independent-segments-procedure-1"/>
    <w:p>
      <w:pPr>
        <w:pStyle w:val="berschrift2"/>
      </w:pPr>
      <w:r>
        <w:rPr>
          <w:iCs/>
          <w:i/>
        </w:rPr>
        <w:t xml:space="preserve">Independent segments procedure</w:t>
      </w:r>
    </w:p>
    <w:p>
      <w:pPr>
        <w:numPr>
          <w:ilvl w:val="0"/>
          <w:numId w:val="1039"/>
        </w:numPr>
        <w:pStyle w:val="Compact"/>
      </w:pPr>
      <w:r>
        <w:t xml:space="preserve">Randomly sample</w:t>
      </w:r>
      <w:r>
        <w:t xml:space="preserve"> </w:t>
      </w:r>
      <m:oMath>
        <m:sSub>
          <m:e>
            <m:r>
              <m:t>N</m:t>
            </m:r>
          </m:e>
          <m:sub>
            <m:r>
              <m:rPr>
                <m:nor/>
                <m:sty m:val="p"/>
              </m:rPr>
              <m:t>ISP</m:t>
            </m:r>
          </m:sub>
        </m:sSub>
      </m:oMath>
      <w:r>
        <w:t xml:space="preserve"> </w:t>
      </w:r>
      <w:r>
        <w:t xml:space="preserve">observations from each of the two specified populations</w:t>
      </w:r>
    </w:p>
    <w:p>
      <w:pPr>
        <w:numPr>
          <w:ilvl w:val="0"/>
          <w:numId w:val="103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40"/>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rPr>
                <m:nor/>
                <m:sty m:val="p"/>
              </m:rPr>
              <m:t>ISP</m:t>
            </m:r>
          </m:sub>
        </m:sSub>
      </m:oMath>
      <w:r>
        <w:t xml:space="preserve"> </w:t>
      </w:r>
      <w:r>
        <w:t xml:space="preserve">new observations, and repeat step 2 on this independent batch of data</w:t>
      </w:r>
    </w:p>
    <w:p>
      <w:pPr>
        <w:numPr>
          <w:ilvl w:val="0"/>
          <w:numId w:val="1041"/>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2"/>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3"/>
        </w:numPr>
        <w:pStyle w:val="Compact"/>
      </w:pPr>
      <w:r>
        <w:t xml:space="preserve">To estimate the uncorrected standardized effect size, calculate Cohen’s</w:t>
      </w:r>
      <w:r>
        <w:t xml:space="preserve"> </w:t>
      </w:r>
      <w:r>
        <w:rPr>
          <w:iCs/>
          <w:i/>
        </w:rPr>
        <w:t xml:space="preserve">d</w:t>
      </w:r>
    </w:p>
    <w:p>
      <w:pPr>
        <w:numPr>
          <w:ilvl w:val="0"/>
          <w:numId w:val="1043"/>
        </w:numPr>
        <w:pStyle w:val="Compact"/>
      </w:pPr>
      <w:r>
        <w:t xml:space="preserve">Repeat 10,000 times</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5% of simulations rejected the null hypothesis when</w:t>
      </w:r>
      <w:r>
        <w:t xml:space="preserve"> </w:t>
      </w:r>
      <m:oMath>
        <m:r>
          <m:t>δ</m:t>
        </m:r>
      </m:oMath>
      <w:r>
        <w:t xml:space="preserve"> </w:t>
      </w:r>
      <w:r>
        <w:t xml:space="preserve">= 0 (i.e., a type I error rate of 5%; see the False Positive column Table 2A) and 80-82% of simulations rejected the null hypothesis when</w:t>
      </w:r>
      <w:r>
        <w:t xml:space="preserve"> </w:t>
      </w:r>
      <m:oMath>
        <m:r>
          <m:t>δ</m:t>
        </m:r>
      </m:oMath>
      <w:r>
        <w:t xml:space="preserve"> </w:t>
      </w:r>
      <w:r>
        <w:t xml:space="preserve">= 0.5 (i.e., a type II error rate of 18-20%;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6% and the True Positive rate of the SBF procedure is 84%. In line with previous findings</w:t>
      </w:r>
      <w:r>
        <w:t xml:space="preserve"> </w:t>
      </w:r>
      <w:r>
        <w:t xml:space="preserve">(Schonbrodt &amp; Wagenmakers, 2018; Schonbrodt et al., 2017; A. Stefan et al.,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(Schonbrodt et al., 2017; A. Stefan et al.,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small, the max-SBF procedure is less efficient than its frequentist counterparts.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.0056 and</w:t>
      </w:r>
      <w:r>
        <w:t xml:space="preserve"> </w:t>
      </w:r>
      <m:oMath>
        <m:sSub>
          <m:e>
            <m:r>
              <m:t>α</m:t>
            </m:r>
          </m:e>
          <m:sub>
            <m:r>
              <m:t>1</m:t>
            </m:r>
            <m:r>
              <m:rPr>
                <m:sty m:val="p"/>
              </m:rPr>
              <m:t>,</m:t>
            </m:r>
            <m:r>
              <m:t>2</m:t>
            </m:r>
          </m:sub>
        </m:sSub>
      </m:oMath>
      <w:r>
        <w:t xml:space="preserve"> </w:t>
      </w:r>
      <w:r>
        <w:t xml:space="preserve">= .022). Across all true effect sizes, the Pocock-like procedure, with our chosen parameters, provides the greatest efficiency gains.</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along with the available bias-adjusted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group-sequential designs, we can see that the available median-unbiased estimators provide a great improvement over the naive (Cohen’s</w:t>
      </w:r>
      <w:r>
        <w:t xml:space="preserve"> </w:t>
      </w:r>
      <w:r>
        <w:rPr>
          <w:iCs/>
          <w:i/>
        </w:rPr>
        <w:t xml:space="preserve">d</w:t>
      </w:r>
      <w:r>
        <w:t xml:space="preserve">) estimator. For both the Pocock-like and the O’Brien-Fleming-like designs, the bias-adjusted effect size estimate is very close to the true population effect size:</w:t>
      </w:r>
      <w:r>
        <w:t xml:space="preserve"> </w:t>
      </w:r>
      <w:r>
        <w:rPr>
          <w:iCs/>
          <w:i/>
        </w:rPr>
        <w:t xml:space="preserve">d</w:t>
      </w:r>
      <w:r>
        <w:t xml:space="preserve"> </w:t>
      </w:r>
      <w:r>
        <w:t xml:space="preserve">= 0.49 compared to</w:t>
      </w:r>
      <w:r>
        <w:t xml:space="preserve"> </w:t>
      </w:r>
      <m:oMath>
        <m:r>
          <m:t>δ</m:t>
        </m:r>
      </m:oMath>
      <w:r>
        <w:t xml:space="preserve"> </w:t>
      </w:r>
      <w:r>
        <w:t xml:space="preserve">= 0.50. For the SBF procedure, we see that the using the mean of the posterior distribution (which shrinks the effect size estimate in earlier terminations) also provides a slight improvement in parameter estimation (by reducing the estimated effect size from</w:t>
      </w:r>
      <w:r>
        <w:t xml:space="preserve"> </w:t>
      </w:r>
      <w:r>
        <w:rPr>
          <w:iCs/>
          <w:i/>
        </w:rPr>
        <w:t xml:space="preserve">d</w:t>
      </w:r>
      <w:r>
        <w:t xml:space="preserve"> </w:t>
      </w:r>
      <w:r>
        <w:t xml:space="preserve">= 0.57 to</w:t>
      </w:r>
      <w:r>
        <w:t xml:space="preserve"> </w:t>
      </w:r>
      <w:r>
        <w:rPr>
          <w:iCs/>
          <w:i/>
        </w:rPr>
        <w:t xml:space="preserve">d</w:t>
      </w:r>
      <w:r>
        <w:t xml:space="preserve"> </w:t>
      </w:r>
      <w:r>
        <w:t xml:space="preserve">= 0.55). The bias in the median effect size estimate of the ISP, however, is severe (</w:t>
      </w:r>
      <w:r>
        <w:rPr>
          <w:iCs/>
          <w:i/>
        </w:rPr>
        <w:t xml:space="preserve">d</w:t>
      </w:r>
      <w:r>
        <w:t xml:space="preserve"> </w:t>
      </w:r>
      <w:r>
        <w:t xml:space="preserve">= 0.66; an exaggeration ratio of 1.33). This biased estimate remains uncorrected due to the absence of a bias-adjusted estimator accompanying the ISP. A we can see,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figures S1-S4 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et al., 2004; Goodman, 2007; Schonbrodt et al.,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(Schonbrodt et al.,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 We are forced to conclude that the Independent Segments Procedure is a novel method for efficiently rejecting the most plausible effect sizes.</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(A. Stefan et al.,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(Goodman, 2007; Schonbrodt et al.,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(A. Stefan et al.,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4.1.2; R Core Team, 2021)</w:t>
      </w:r>
      <w:r>
        <w:t xml:space="preserve"> </w:t>
      </w:r>
      <w:r>
        <w:t xml:space="preserve">and the R-packages</w:t>
      </w:r>
      <w:r>
        <w:t xml:space="preserve"> </w:t>
      </w:r>
      <w:r>
        <w:rPr>
          <w:iCs/>
          <w:i/>
        </w:rPr>
        <w:t xml:space="preserve">BayesFactor</w:t>
      </w:r>
      <w:r>
        <w:t xml:space="preserve"> </w:t>
      </w:r>
      <w:r>
        <w:t xml:space="preserve">(Version 0.9.12.4.2;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Schönbrodt &amp; Wagenmakers, 2018)</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1.3.4;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2.0.2;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0.3.4; Daniel Lakens, 2017)</w:t>
      </w:r>
      <w:r>
        <w:t xml:space="preserve">.</w:t>
      </w:r>
    </w:p>
    <w:p>
      <w:r>
        <w:br w:type="page"/>
      </w:r>
    </w:p>
    <w:bookmarkEnd w:id="40"/>
    <w:bookmarkEnd w:id="41"/>
    <w:bookmarkStart w:id="219" w:name="references"/>
    <w:p>
      <w:pPr>
        <w:pStyle w:val="berschrift1"/>
      </w:pPr>
      <w:r>
        <w:t xml:space="preserve">References</w:t>
      </w:r>
    </w:p>
    <w:bookmarkStart w:id="172"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49">
        <w:r>
          <w:rPr>
            <w:rStyle w:val="Hyperlink"/>
          </w:rPr>
          <w:t xml:space="preserve">https://CRAN.R-project.org/package=beepr</w:t>
        </w:r>
      </w:hyperlink>
    </w:p>
    <w:bookmarkEnd w:id="50"/>
    <w:bookmarkStart w:id="52"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51">
        <w:r>
          <w:rPr>
            <w:rStyle w:val="Hyperlink"/>
          </w:rPr>
          <w:t xml:space="preserve">https://doi.org/10.1177/1745691612459060</w:t>
        </w:r>
      </w:hyperlink>
    </w:p>
    <w:bookmarkEnd w:id="52"/>
    <w:bookmarkStart w:id="54"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3">
        <w:r>
          <w:rPr>
            <w:rStyle w:val="Hyperlink"/>
          </w:rPr>
          <w:t xml:space="preserve">https://github.com/mariusbarth/tinylabels</w:t>
        </w:r>
      </w:hyperlink>
    </w:p>
    <w:bookmarkEnd w:id="54"/>
    <w:bookmarkStart w:id="56"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5">
        <w:r>
          <w:rPr>
            <w:rStyle w:val="Hyperlink"/>
          </w:rPr>
          <w:t xml:space="preserve">https://CRAN.R-project.org/package=Matrix</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5">
        <w:r>
          <w:rPr>
            <w:rStyle w:val="Hyperlink"/>
          </w:rPr>
          <w:t xml:space="preserve">https://doi.org/10.1098/rsta.1922.0009</w:t>
        </w:r>
      </w:hyperlink>
    </w:p>
    <w:bookmarkEnd w:id="76"/>
    <w:bookmarkStart w:id="78"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7">
        <w:r>
          <w:rPr>
            <w:rStyle w:val="Hyperlink"/>
          </w:rPr>
          <w:t xml:space="preserve">https://doi.org/10.1016/S0197-2456(84)80014-8</w:t>
        </w:r>
      </w:hyperlink>
    </w:p>
    <w:bookmarkEnd w:id="78"/>
    <w:bookmarkStart w:id="80" w:name="ref-goodman1999"/>
    <w:p>
      <w:pPr>
        <w:pStyle w:val="Literaturverzeichnis"/>
      </w:pPr>
      <w:r>
        <w:t xml:space="preserve">Goodman, S.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9">
        <w:r>
          <w:rPr>
            <w:rStyle w:val="Hyperlink"/>
          </w:rPr>
          <w:t xml:space="preserve">https://doi.org/10.7326/0003-4819-130-12-199906150-00008</w:t>
        </w:r>
      </w:hyperlink>
    </w:p>
    <w:bookmarkEnd w:id="80"/>
    <w:bookmarkStart w:id="82" w:name="ref-goodman2007"/>
    <w:p>
      <w:pPr>
        <w:pStyle w:val="Literaturverzeichnis"/>
      </w:pPr>
      <w:r>
        <w:t xml:space="preserve">Goodman, S.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1">
        <w:r>
          <w:rPr>
            <w:rStyle w:val="Hyperlink"/>
          </w:rPr>
          <w:t xml:space="preserve">https://doi.org/10.7326/0003-4819-146-12-200706190-00010</w:t>
        </w:r>
      </w:hyperlink>
    </w:p>
    <w:bookmarkEnd w:id="82"/>
    <w:bookmarkStart w:id="84" w:name="ref-goodman1988"/>
    <w:p>
      <w:pPr>
        <w:pStyle w:val="Literaturverzeichnis"/>
      </w:pPr>
      <w:r>
        <w:t xml:space="preserve">Goodman, S.,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3">
        <w:r>
          <w:rPr>
            <w:rStyle w:val="Hyperlink"/>
          </w:rPr>
          <w:t xml:space="preserve">https://doi.org/10.2105/AJPH.78.12.1568</w:t>
        </w:r>
      </w:hyperlink>
    </w:p>
    <w:bookmarkEnd w:id="84"/>
    <w:bookmarkStart w:id="86"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5">
        <w:r>
          <w:rPr>
            <w:rStyle w:val="Hyperlink"/>
          </w:rPr>
          <w:t xml:space="preserve">https://CRAN.R-project.org/package=purrr</w:t>
        </w:r>
      </w:hyperlink>
    </w:p>
    <w:bookmarkEnd w:id="86"/>
    <w:bookmarkStart w:id="88"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7">
        <w:r>
          <w:rPr>
            <w:rStyle w:val="Hyperlink"/>
          </w:rPr>
          <w:t xml:space="preserve">https://doi.org/10.3758/s13423-016-1221-4</w:t>
        </w:r>
      </w:hyperlink>
    </w:p>
    <w:bookmarkEnd w:id="88"/>
    <w:bookmarkStart w:id="90" w:name="ref-lakens2014"/>
    <w:p>
      <w:pPr>
        <w:pStyle w:val="Literaturverzeichnis"/>
      </w:pPr>
      <w:r>
        <w:t xml:space="preserve">Lakens, D.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9">
        <w:r>
          <w:rPr>
            <w:rStyle w:val="Hyperlink"/>
          </w:rPr>
          <w:t xml:space="preserve">https://doi.org/10.1002/ejsp.2023</w:t>
        </w:r>
      </w:hyperlink>
    </w:p>
    <w:bookmarkEnd w:id="90"/>
    <w:bookmarkStart w:id="92"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1">
        <w:r>
          <w:rPr>
            <w:rStyle w:val="Hyperlink"/>
          </w:rPr>
          <w:t xml:space="preserve">https://doi.org/10.1177/1948550617697177</w:t>
        </w:r>
      </w:hyperlink>
    </w:p>
    <w:bookmarkEnd w:id="92"/>
    <w:bookmarkStart w:id="94" w:name="ref-lakens2021a"/>
    <w:p>
      <w:pPr>
        <w:pStyle w:val="Literaturverzeichnis"/>
      </w:pPr>
      <w:r>
        <w:t xml:space="preserve">Lakens, D. (2021a). Invited commentary: Comparing the independent segments procedure with group sequential designs.</w:t>
      </w:r>
      <w:r>
        <w:t xml:space="preserve"> </w:t>
      </w:r>
      <w:r>
        <w:rPr>
          <w:iCs/>
          <w:i/>
        </w:rPr>
        <w:t xml:space="preserve">Psychological Methods</w:t>
      </w:r>
      <w:r>
        <w:t xml:space="preserve">,</w:t>
      </w:r>
      <w:r>
        <w:t xml:space="preserve"> </w:t>
      </w:r>
      <w:r>
        <w:rPr>
          <w:iCs/>
          <w:i/>
        </w:rPr>
        <w:t xml:space="preserve">26</w:t>
      </w:r>
      <w:r>
        <w:t xml:space="preserve">(4), 498–500.</w:t>
      </w:r>
      <w:r>
        <w:t xml:space="preserve"> </w:t>
      </w:r>
      <w:hyperlink r:id="rId93">
        <w:r>
          <w:rPr>
            <w:rStyle w:val="Hyperlink"/>
          </w:rPr>
          <w:t xml:space="preserve">https://doi.org/10.1037/met0000400</w:t>
        </w:r>
      </w:hyperlink>
    </w:p>
    <w:bookmarkEnd w:id="94"/>
    <w:bookmarkStart w:id="96" w:name="ref-lakens2021"/>
    <w:p>
      <w:pPr>
        <w:pStyle w:val="Literaturverzeichnis"/>
      </w:pPr>
      <w:r>
        <w:t xml:space="preserve">Lakens, D. (2021b). The</w:t>
      </w:r>
      <w:r>
        <w:t xml:space="preserve"> </w:t>
      </w:r>
      <w:r>
        <w:t xml:space="preserve">Practical Alternative</w:t>
      </w:r>
      <w:r>
        <w:t xml:space="preserve"> </w:t>
      </w:r>
      <w:r>
        <w:t xml:space="preserve">to the p</w:t>
      </w:r>
      <w:r>
        <w:t xml:space="preserve"> </w:t>
      </w:r>
      <w:r>
        <w:t xml:space="preserve">Value Is</w:t>
      </w:r>
      <w:r>
        <w:t xml:space="preserve"> </w:t>
      </w:r>
      <w:r>
        <w:t xml:space="preserve">the</w:t>
      </w:r>
      <w:r>
        <w:t xml:space="preserve"> </w:t>
      </w:r>
      <w:r>
        <w:t xml:space="preserve">Correctly Used</w:t>
      </w:r>
      <w:r>
        <w:t xml:space="preserve"> </w:t>
      </w:r>
      <w:r>
        <w:t xml:space="preserve">p</w:t>
      </w:r>
      <w:r>
        <w:t xml:space="preserve"> </w:t>
      </w:r>
      <w:r>
        <w:t xml:space="preserve">Value</w:t>
      </w:r>
      <w:r>
        <w:t xml:space="preserve">.</w:t>
      </w:r>
      <w:r>
        <w:t xml:space="preserve"> </w:t>
      </w:r>
      <w:r>
        <w:rPr>
          <w:iCs/>
          <w:i/>
        </w:rPr>
        <w:t xml:space="preserve">Perspectives on Psychological Science: A Journal of the Association for Psychological Science</w:t>
      </w:r>
      <w:r>
        <w:t xml:space="preserve">,</w:t>
      </w:r>
      <w:r>
        <w:t xml:space="preserve"> </w:t>
      </w:r>
      <w:r>
        <w:rPr>
          <w:iCs/>
          <w:i/>
        </w:rPr>
        <w:t xml:space="preserve">16</w:t>
      </w:r>
      <w:r>
        <w:t xml:space="preserve">(3), 639–648.</w:t>
      </w:r>
      <w:r>
        <w:t xml:space="preserve"> </w:t>
      </w:r>
      <w:hyperlink r:id="rId95">
        <w:r>
          <w:rPr>
            <w:rStyle w:val="Hyperlink"/>
          </w:rPr>
          <w:t xml:space="preserve">https://doi.org/10.1177/1745691620958012</w:t>
        </w:r>
      </w:hyperlink>
    </w:p>
    <w:bookmarkEnd w:id="96"/>
    <w:bookmarkStart w:id="98" w:name="ref-lakens2018"/>
    <w:p>
      <w:pPr>
        <w:pStyle w:val="Literaturverzeichnis"/>
      </w:pPr>
      <w:r>
        <w:t xml:space="preserve">Lakens, D.,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7">
        <w:r>
          <w:rPr>
            <w:rStyle w:val="Hyperlink"/>
          </w:rPr>
          <w:t xml:space="preserve">https://doi.org/10.1177/2515245918770963</w:t>
        </w:r>
      </w:hyperlink>
    </w:p>
    <w:bookmarkEnd w:id="98"/>
    <w:bookmarkStart w:id="100"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9">
        <w:r>
          <w:rPr>
            <w:rStyle w:val="Hyperlink"/>
          </w:rPr>
          <w:t xml:space="preserve">https://doi.org/10.1093/biomet/70.3.659</w:t>
        </w:r>
      </w:hyperlink>
    </w:p>
    <w:bookmarkEnd w:id="100"/>
    <w:bookmarkStart w:id="101"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1"/>
    <w:bookmarkStart w:id="102" w:name="ref-mayo2016"/>
    <w:p>
      <w:pPr>
        <w:pStyle w:val="Literaturverzeichnis"/>
      </w:pPr>
      <w:r>
        <w:t xml:space="preserve">Mayo, D.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2"/>
    <w:bookmarkStart w:id="104" w:name="ref-mayo2018"/>
    <w:p>
      <w:pPr>
        <w:pStyle w:val="Literaturverzeichnis"/>
      </w:pPr>
      <w:r>
        <w:t xml:space="preserve">Mayo, D.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3">
        <w:r>
          <w:rPr>
            <w:rStyle w:val="Hyperlink"/>
          </w:rPr>
          <w:t xml:space="preserve">https://doi.org/10.1017/9781107286184</w:t>
        </w:r>
      </w:hyperlink>
    </w:p>
    <w:bookmarkEnd w:id="104"/>
    <w:bookmarkStart w:id="106"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5">
        <w:r>
          <w:rPr>
            <w:rStyle w:val="Hyperlink"/>
          </w:rPr>
          <w:t xml:space="preserve">https://doi.org/10.1177/000276428102500205</w:t>
        </w:r>
      </w:hyperlink>
    </w:p>
    <w:bookmarkEnd w:id="106"/>
    <w:bookmarkStart w:id="108"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7">
        <w:r>
          <w:rPr>
            <w:rStyle w:val="Hyperlink"/>
          </w:rPr>
          <w:t xml:space="preserve">https://CRAN.R-project.org/package=foreach</w:t>
        </w:r>
      </w:hyperlink>
    </w:p>
    <w:bookmarkEnd w:id="108"/>
    <w:bookmarkStart w:id="110"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09">
        <w:r>
          <w:rPr>
            <w:rStyle w:val="Hyperlink"/>
          </w:rPr>
          <w:t xml:space="preserve">https://doi.org/10.1037/met0000350</w:t>
        </w:r>
      </w:hyperlink>
    </w:p>
    <w:bookmarkEnd w:id="110"/>
    <w:bookmarkStart w:id="112" w:name="ref-morey2016"/>
    <w:p>
      <w:pPr>
        <w:pStyle w:val="Literaturverzeichnis"/>
      </w:pPr>
      <w:r>
        <w:t xml:space="preserve">Morey, R.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1">
        <w:r>
          <w:rPr>
            <w:rStyle w:val="Hyperlink"/>
          </w:rPr>
          <w:t xml:space="preserve">https://doi.org/10.5281/zenodo.838685</w:t>
        </w:r>
      </w:hyperlink>
    </w:p>
    <w:bookmarkEnd w:id="112"/>
    <w:bookmarkStart w:id="114" w:name="ref-morey2011"/>
    <w:p>
      <w:pPr>
        <w:pStyle w:val="Literaturverzeichnis"/>
      </w:pPr>
      <w:r>
        <w:t xml:space="preserve">Morey, R.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3">
        <w:r>
          <w:rPr>
            <w:rStyle w:val="Hyperlink"/>
          </w:rPr>
          <w:t xml:space="preserve">https://doi.org/10.1037/a0024377</w:t>
        </w:r>
      </w:hyperlink>
    </w:p>
    <w:bookmarkEnd w:id="114"/>
    <w:bookmarkStart w:id="116" w:name="ref-R-BayesFactor"/>
    <w:p>
      <w:pPr>
        <w:pStyle w:val="Literaturverzeichnis"/>
      </w:pPr>
      <w:r>
        <w:t xml:space="preserve">Morey, R. D., &amp; Rouder, J. N. (2018).</w:t>
      </w:r>
      <w:r>
        <w:t xml:space="preserve"> </w:t>
      </w:r>
      <w:r>
        <w:rPr>
          <w:iCs/>
          <w:i/>
        </w:rPr>
        <w:t xml:space="preserve">BayesFactor: Computation of bayes factors for common designs</w:t>
      </w:r>
      <w:r>
        <w:t xml:space="preserve">. Retrieved from</w:t>
      </w:r>
      <w:r>
        <w:t xml:space="preserve"> </w:t>
      </w:r>
      <w:hyperlink r:id="rId115">
        <w:r>
          <w:rPr>
            <w:rStyle w:val="Hyperlink"/>
          </w:rPr>
          <w:t xml:space="preserve">https://CRAN.R-project.org/package=BayesFactor</w:t>
        </w:r>
      </w:hyperlink>
    </w:p>
    <w:bookmarkEnd w:id="116"/>
    <w:bookmarkStart w:id="118"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7">
        <w:r>
          <w:rPr>
            <w:rStyle w:val="Hyperlink"/>
          </w:rPr>
          <w:t xml:space="preserve">https://CRAN.R-project.org/package=tibble</w:t>
        </w:r>
      </w:hyperlink>
    </w:p>
    <w:bookmarkEnd w:id="118"/>
    <w:bookmarkStart w:id="120"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19">
        <w:r>
          <w:rPr>
            <w:rStyle w:val="Hyperlink"/>
          </w:rPr>
          <w:t xml:space="preserve">https://doi.org/10.1146/annurev-psych-122216-011836</w:t>
        </w:r>
      </w:hyperlink>
    </w:p>
    <w:bookmarkEnd w:id="120"/>
    <w:bookmarkStart w:id="121"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1"/>
    <w:bookmarkStart w:id="123"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2">
        <w:r>
          <w:rPr>
            <w:rStyle w:val="Hyperlink"/>
          </w:rPr>
          <w:t xml:space="preserve">https://journal.r-project.org/archive/</w:t>
        </w:r>
      </w:hyperlink>
    </w:p>
    <w:bookmarkEnd w:id="123"/>
    <w:bookmarkStart w:id="125"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4">
        <w:r>
          <w:rPr>
            <w:rStyle w:val="Hyperlink"/>
          </w:rPr>
          <w:t xml:space="preserve">https://doi.org/10.2307/2335684</w:t>
        </w:r>
      </w:hyperlink>
    </w:p>
    <w:bookmarkEnd w:id="125"/>
    <w:bookmarkStart w:id="127"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6">
        <w:r>
          <w:rPr>
            <w:rStyle w:val="Hyperlink"/>
          </w:rPr>
          <w:t xml:space="preserve">https://doi.org/10.1016/0197-2456(89)90059-7</w:t>
        </w:r>
      </w:hyperlink>
    </w:p>
    <w:bookmarkEnd w:id="127"/>
    <w:bookmarkStart w:id="128"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8"/>
    <w:bookmarkStart w:id="130"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9">
        <w:r>
          <w:rPr>
            <w:rStyle w:val="Hyperlink"/>
          </w:rPr>
          <w:t xml:space="preserve">https://www.R-project.org/</w:t>
        </w:r>
      </w:hyperlink>
    </w:p>
    <w:bookmarkEnd w:id="130"/>
    <w:bookmarkStart w:id="132"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1">
        <w:r>
          <w:rPr>
            <w:rStyle w:val="Hyperlink"/>
          </w:rPr>
          <w:t xml:space="preserve">https://doi.org/10.1111/tops.12214</w:t>
        </w:r>
      </w:hyperlink>
    </w:p>
    <w:bookmarkEnd w:id="132"/>
    <w:bookmarkStart w:id="134"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3">
        <w:r>
          <w:rPr>
            <w:rStyle w:val="Hyperlink"/>
          </w:rPr>
          <w:t xml:space="preserve">https://doi.org/10.1037/met0000234</w:t>
        </w:r>
      </w:hyperlink>
    </w:p>
    <w:bookmarkEnd w:id="134"/>
    <w:bookmarkStart w:id="135" w:name="ref-schonbrodt2018"/>
    <w:p>
      <w:pPr>
        <w:pStyle w:val="Literaturverzeichnis"/>
      </w:pPr>
      <w:r>
        <w:t xml:space="preserve">Schonbrodt, F. D., &amp; Wagenmakers, E.-J. (2018). Bayes factor design analysis: Planning for compelling evidence.</w:t>
      </w:r>
      <w:r>
        <w:t xml:space="preserve"> </w:t>
      </w:r>
      <w:r>
        <w:rPr>
          <w:iCs/>
          <w:i/>
        </w:rPr>
        <w:t xml:space="preserve">Psychon Bull Rev</w:t>
      </w:r>
      <w:r>
        <w:t xml:space="preserve">, 15.</w:t>
      </w:r>
    </w:p>
    <w:bookmarkEnd w:id="135"/>
    <w:bookmarkStart w:id="137" w:name="ref-schonbrodt2017"/>
    <w:p>
      <w:pPr>
        <w:pStyle w:val="Literaturverzeichnis"/>
      </w:pPr>
      <w:r>
        <w:t xml:space="preserve">Schonbrodt, F.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6">
        <w:r>
          <w:rPr>
            <w:rStyle w:val="Hyperlink"/>
          </w:rPr>
          <w:t xml:space="preserve">https://doi.org/10.1037/met0000061</w:t>
        </w:r>
      </w:hyperlink>
    </w:p>
    <w:bookmarkEnd w:id="137"/>
    <w:bookmarkStart w:id="139" w:name="ref-R-BFDA"/>
    <w:p>
      <w:pPr>
        <w:pStyle w:val="Literaturverzeichnis"/>
      </w:pPr>
      <w:r>
        <w:t xml:space="preserve">Schönbrodt, F. D., &amp; Wagenmakers, E.-J. (2018).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8">
        <w:r>
          <w:rPr>
            <w:rStyle w:val="Hyperlink"/>
          </w:rPr>
          <w:t xml:space="preserve">https://doi.org/10.3758/s13423-017-1230-y</w:t>
        </w:r>
      </w:hyperlink>
    </w:p>
    <w:bookmarkEnd w:id="139"/>
    <w:bookmarkStart w:id="141"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0">
        <w:r>
          <w:rPr>
            <w:rStyle w:val="Hyperlink"/>
          </w:rPr>
          <w:t xml:space="preserve">https://doi.org/10.1177/0956797611417632</w:t>
        </w:r>
      </w:hyperlink>
    </w:p>
    <w:bookmarkEnd w:id="141"/>
    <w:bookmarkStart w:id="143" w:name="ref-stefan2019"/>
    <w:p>
      <w:pPr>
        <w:pStyle w:val="Literaturverzeichnis"/>
      </w:pPr>
      <w:r>
        <w:t xml:space="preserve">Stefan, A. M., Gronau, Q. F., Schonbrodt, F. D., &amp; Wagenmakers, E.-J. (2019). A tutorial on</w:t>
      </w:r>
      <w:r>
        <w:t xml:space="preserve"> </w:t>
      </w:r>
      <w:r>
        <w:t xml:space="preserve">Bayes Factor Design Analysis</w:t>
      </w:r>
      <w:r>
        <w:t xml:space="preserve"> </w:t>
      </w:r>
      <w:r>
        <w:t xml:space="preserve">using an informed prior.</w:t>
      </w:r>
      <w:r>
        <w:t xml:space="preserve"> </w:t>
      </w:r>
      <w:r>
        <w:rPr>
          <w:iCs/>
          <w:i/>
        </w:rPr>
        <w:t xml:space="preserve">Behavior Research Methods</w:t>
      </w:r>
      <w:r>
        <w:t xml:space="preserve">,</w:t>
      </w:r>
      <w:r>
        <w:t xml:space="preserve"> </w:t>
      </w:r>
      <w:r>
        <w:rPr>
          <w:iCs/>
          <w:i/>
        </w:rPr>
        <w:t xml:space="preserve">51</w:t>
      </w:r>
      <w:r>
        <w:t xml:space="preserve">(3), 1042–1058.</w:t>
      </w:r>
      <w:r>
        <w:t xml:space="preserve"> </w:t>
      </w:r>
      <w:hyperlink r:id="rId142">
        <w:r>
          <w:rPr>
            <w:rStyle w:val="Hyperlink"/>
          </w:rPr>
          <w:t xml:space="preserve">https://doi.org/10.3758/s13428-018-01189-8</w:t>
        </w:r>
      </w:hyperlink>
    </w:p>
    <w:bookmarkEnd w:id="143"/>
    <w:bookmarkStart w:id="145" w:name="ref-stefan2020"/>
    <w:p>
      <w:pPr>
        <w:pStyle w:val="Literaturverzeichnis"/>
      </w:pPr>
      <w:r>
        <w:t xml:space="preserve">Stefan, A., Schonbrodt,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4">
        <w:r>
          <w:rPr>
            <w:rStyle w:val="Hyperlink"/>
          </w:rPr>
          <w:t xml:space="preserve">https://doi.org/10.31234/osf.io/ry4fw</w:t>
        </w:r>
      </w:hyperlink>
    </w:p>
    <w:bookmarkEnd w:id="145"/>
    <w:bookmarkStart w:id="147"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6">
        <w:r>
          <w:rPr>
            <w:rStyle w:val="Hyperlink"/>
          </w:rPr>
          <w:t xml:space="preserve">https://doi.org/10.3758/s13423-020-01798-5</w:t>
        </w:r>
      </w:hyperlink>
    </w:p>
    <w:bookmarkEnd w:id="147"/>
    <w:bookmarkStart w:id="149"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8">
        <w:r>
          <w:rPr>
            <w:rStyle w:val="Hyperlink"/>
          </w:rPr>
          <w:t xml:space="preserve">https://doi.org/10.18637/jss.v036.i03</w:t>
        </w:r>
      </w:hyperlink>
    </w:p>
    <w:bookmarkEnd w:id="149"/>
    <w:bookmarkStart w:id="150"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50"/>
    <w:bookmarkStart w:id="152"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51">
        <w:r>
          <w:rPr>
            <w:rStyle w:val="Hyperlink"/>
          </w:rPr>
          <w:t xml:space="preserve">https://doi.org/10.3758/s13423-017-1343-3</w:t>
        </w:r>
      </w:hyperlink>
    </w:p>
    <w:bookmarkEnd w:id="152"/>
    <w:bookmarkStart w:id="153"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3"/>
    <w:bookmarkStart w:id="155"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4">
        <w:r>
          <w:rPr>
            <w:rStyle w:val="Hyperlink"/>
          </w:rPr>
          <w:t xml:space="preserve">https://doi.org/10.1007/978-3-319-32562-0</w:t>
        </w:r>
      </w:hyperlink>
    </w:p>
    <w:bookmarkEnd w:id="155"/>
    <w:bookmarkStart w:id="157"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6">
        <w:r>
          <w:rPr>
            <w:rStyle w:val="Hyperlink"/>
          </w:rPr>
          <w:t xml:space="preserve">https://CRAN.R-project.org/package=rpact</w:t>
        </w:r>
      </w:hyperlink>
    </w:p>
    <w:bookmarkEnd w:id="157"/>
    <w:bookmarkStart w:id="159"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8">
        <w:r>
          <w:rPr>
            <w:rStyle w:val="Hyperlink"/>
          </w:rPr>
          <w:t xml:space="preserve">https://ggplot2.tidyverse.org</w:t>
        </w:r>
      </w:hyperlink>
    </w:p>
    <w:bookmarkEnd w:id="159"/>
    <w:bookmarkStart w:id="161"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60">
        <w:r>
          <w:rPr>
            <w:rStyle w:val="Hyperlink"/>
          </w:rPr>
          <w:t xml:space="preserve">https://CRAN.R-project.org/package=stringr</w:t>
        </w:r>
      </w:hyperlink>
    </w:p>
    <w:bookmarkEnd w:id="161"/>
    <w:bookmarkStart w:id="163"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2">
        <w:r>
          <w:rPr>
            <w:rStyle w:val="Hyperlink"/>
          </w:rPr>
          <w:t xml:space="preserve">https://CRAN.R-project.org/package=forcats</w:t>
        </w:r>
      </w:hyperlink>
    </w:p>
    <w:bookmarkEnd w:id="163"/>
    <w:bookmarkStart w:id="165"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4">
        <w:r>
          <w:rPr>
            <w:rStyle w:val="Hyperlink"/>
          </w:rPr>
          <w:t xml:space="preserve">https://CRAN.R-project.org/package=tidyr</w:t>
        </w:r>
      </w:hyperlink>
    </w:p>
    <w:bookmarkEnd w:id="165"/>
    <w:bookmarkStart w:id="167"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6">
        <w:r>
          <w:rPr>
            <w:rStyle w:val="Hyperlink"/>
          </w:rPr>
          <w:t xml:space="preserve">https://doi.org/10.21105/joss.01686</w:t>
        </w:r>
      </w:hyperlink>
    </w:p>
    <w:bookmarkEnd w:id="167"/>
    <w:bookmarkStart w:id="169"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8">
        <w:r>
          <w:rPr>
            <w:rStyle w:val="Hyperlink"/>
          </w:rPr>
          <w:t xml:space="preserve">https://CRAN.R-project.org/package=dplyr</w:t>
        </w:r>
      </w:hyperlink>
    </w:p>
    <w:bookmarkEnd w:id="169"/>
    <w:bookmarkStart w:id="171"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70">
        <w:r>
          <w:rPr>
            <w:rStyle w:val="Hyperlink"/>
          </w:rPr>
          <w:t xml:space="preserve">https://CRAN.R-project.org/package=readr</w:t>
        </w:r>
      </w:hyperlink>
    </w:p>
    <w:bookmarkEnd w:id="171"/>
    <w:bookmarkEnd w:id="172"/>
    <w:p>
      <w:r>
        <w:br w:type="page"/>
      </w:r>
    </w:p>
    <w:bookmarkStart w:id="173" w:name="table-1"/>
    <w:p>
      <w:pPr>
        <w:pStyle w:val="berschrift2"/>
      </w:pPr>
      <w:r>
        <w:t xml:space="preserve">Table 1</w:t>
      </w:r>
    </w:p>
    <w:bookmarkEnd w:id="173"/>
    <w:bookmarkStart w:id="174" w:name="X782690877b91c23cb4722c5e99de1232f6b0490"/>
    <w:p>
      <w:pPr>
        <w:pStyle w:val="berschrift2"/>
      </w:pPr>
      <w:r>
        <w:rPr>
          <w:iCs/>
          <w:i/>
        </w:rPr>
        <w:t xml:space="preserve">Commonalities and Differences between Three Sequential Hypothesis Testing Procedures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Group-Sequential Designs</w:t>
            </w:r>
          </w:p>
        </w:tc>
        <w:tc>
          <w:tcPr/>
          <w:p>
            <w:pPr>
              <w:pStyle w:val="Compact"/>
              <w:jc w:val="left"/>
            </w:pPr>
            <w:r>
              <w:t xml:space="preserve">Independent Segments Procedure</w:t>
            </w:r>
          </w:p>
        </w:tc>
        <w:tc>
          <w:tcPr/>
          <w:p>
            <w:pPr>
              <w:pStyle w:val="Compact"/>
              <w:jc w:val="left"/>
            </w:pPr>
            <w:r>
              <w:t xml:space="preserve">Sequential Bayes Factor Design</w:t>
            </w:r>
          </w:p>
        </w:tc>
      </w:tr>
      <w:tr>
        <w:tc>
          <w:tcPr/>
          <w:p>
            <w:pPr>
              <w:pStyle w:val="Compact"/>
              <w:jc w:val="left"/>
            </w:pPr>
            <w:r>
              <w:rPr>
                <w:bCs/>
                <w:b/>
              </w:rPr>
              <w:t xml:space="preserve">Aim</w:t>
            </w:r>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tcPr/>
          <w:p>
            <w:pPr>
              <w:pStyle w:val="Compact"/>
              <w:jc w:val="left"/>
            </w:pPr>
            <w:r>
              <w:rPr>
                <w:bCs/>
                <w:b/>
              </w:rPr>
              <w:t xml:space="preserve">Nature of data</w:t>
            </w:r>
          </w:p>
        </w:tc>
        <w:tc>
          <w:tcPr/>
          <w:p>
            <w:pPr>
              <w:pStyle w:val="Compact"/>
              <w:jc w:val="left"/>
            </w:pPr>
            <w:r>
              <w:t xml:space="preserve">Cumulative</w:t>
            </w:r>
          </w:p>
        </w:tc>
        <w:tc>
          <w:tcPr/>
          <w:p>
            <w:pPr>
              <w:pStyle w:val="Compact"/>
              <w:jc w:val="left"/>
            </w:pPr>
            <w:r>
              <w:t xml:space="preserve">Independent</w:t>
            </w:r>
          </w:p>
        </w:tc>
        <w:tc>
          <w:tcPr/>
          <w:p>
            <w:pPr>
              <w:pStyle w:val="Compact"/>
              <w:jc w:val="left"/>
            </w:pPr>
            <w:r>
              <w:t xml:space="preserve">Cumulative</w:t>
            </w:r>
          </w:p>
        </w:tc>
      </w:tr>
      <w:tr>
        <w:tc>
          <w:tcPr/>
          <w:p>
            <w:pPr>
              <w:pStyle w:val="Compact"/>
              <w:jc w:val="left"/>
            </w:pPr>
            <w:r>
              <w:rPr>
                <w:bCs/>
                <w:b/>
              </w:rPr>
              <w:t xml:space="preserve">Control of error rates</w:t>
            </w:r>
          </w:p>
        </w:tc>
        <w:tc>
          <w:tcPr/>
          <w:p>
            <w:pPr>
              <w:pStyle w:val="Compact"/>
              <w:jc w:val="left"/>
            </w:pPr>
            <w:r>
              <w:t xml:space="preserve">Direct</w:t>
            </w:r>
          </w:p>
        </w:tc>
        <w:tc>
          <w:tcPr/>
          <w:p>
            <w:pPr>
              <w:pStyle w:val="Compact"/>
              <w:jc w:val="left"/>
            </w:pPr>
            <w:r>
              <w:t xml:space="preserve">Direct</w:t>
            </w:r>
          </w:p>
        </w:tc>
        <w:tc>
          <w:tcPr/>
          <w:p>
            <w:pPr>
              <w:pStyle w:val="Compact"/>
              <w:jc w:val="left"/>
            </w:pPr>
            <w:r>
              <w:t xml:space="preserve">Indirect (e.g., through simulation)</w:t>
            </w:r>
          </w:p>
        </w:tc>
      </w:tr>
      <w:tr>
        <w:tc>
          <w:tcPr/>
          <w:p>
            <w:pPr>
              <w:pStyle w:val="Compact"/>
              <w:jc w:val="left"/>
            </w:pPr>
            <w:r>
              <w:rPr>
                <w:bCs/>
                <w:b/>
              </w:rPr>
              <w:t xml:space="preserve">Bias correction procedure</w:t>
            </w:r>
          </w:p>
        </w:tc>
        <w:tc>
          <w:tcPr/>
          <w:p>
            <w:pPr>
              <w:pStyle w:val="Compact"/>
              <w:jc w:val="left"/>
            </w:pPr>
            <w:r>
              <w:t xml:space="preserve">Available</w:t>
            </w:r>
          </w:p>
        </w:tc>
        <w:tc>
          <w:tcPr/>
          <w:p>
            <w:pPr>
              <w:pStyle w:val="Compact"/>
              <w:jc w:val="left"/>
            </w:pPr>
            <w:r>
              <w:t xml:space="preserve">Does not exist</w:t>
            </w:r>
          </w:p>
        </w:tc>
        <w:tc>
          <w:tcPr/>
          <w:p>
            <w:pPr>
              <w:pStyle w:val="Compact"/>
              <w:jc w:val="left"/>
            </w:pPr>
            <w:r>
              <w:t xml:space="preserve">Available</w:t>
            </w:r>
          </w:p>
        </w:tc>
      </w:tr>
      <w:tr>
        <w:tc>
          <w:tcPr/>
          <w:p>
            <w:pPr>
              <w:pStyle w:val="Compact"/>
              <w:jc w:val="left"/>
            </w:pPr>
            <w:r>
              <w:rPr>
                <w:bCs/>
                <w:b/>
              </w:rPr>
              <w:t xml:space="preserve">Flexibility</w:t>
            </w:r>
          </w:p>
        </w:tc>
        <w:tc>
          <w:tcPr/>
          <w:p>
            <w:pPr>
              <w:pStyle w:val="Compact"/>
              <w:jc w:val="left"/>
            </w:pPr>
            <w:r>
              <w:t xml:space="preserve">Moderately flexible</w:t>
            </w:r>
          </w:p>
        </w:tc>
        <w:tc>
          <w:tcPr/>
          <w:p>
            <w:pPr>
              <w:pStyle w:val="Compact"/>
              <w:jc w:val="left"/>
            </w:pPr>
            <w:r>
              <w:t xml:space="preserve">Highly restrictive</w:t>
            </w:r>
          </w:p>
        </w:tc>
        <w:tc>
          <w:tcPr/>
          <w:p>
            <w:pPr>
              <w:pStyle w:val="Compact"/>
              <w:jc w:val="left"/>
            </w:pPr>
            <w:r>
              <w:t xml:space="preserve">Highly flexible</w:t>
            </w:r>
          </w:p>
        </w:tc>
      </w:tr>
      <w:tr>
        <w:tc>
          <w:tcPr/>
          <w:p>
            <w:pPr>
              <w:pStyle w:val="Compact"/>
              <w:jc w:val="left"/>
            </w:pPr>
            <w:r>
              <w:rPr>
                <w:bCs/>
                <w:b/>
              </w:rPr>
              <w:t xml:space="preserve">Acceptance of the null</w:t>
            </w:r>
          </w:p>
        </w:tc>
        <w:tc>
          <w:tcPr/>
          <w:p>
            <w:pPr>
              <w:pStyle w:val="Compact"/>
              <w:jc w:val="left"/>
            </w:pPr>
            <w:r>
              <w:t xml:space="preserve">Possible</w:t>
            </w:r>
          </w:p>
        </w:tc>
        <w:tc>
          <w:tcPr/>
          <w:p>
            <w:pPr>
              <w:pStyle w:val="Compact"/>
              <w:jc w:val="left"/>
            </w:pPr>
            <w:r>
              <w:t xml:space="preserve">Impossible</w:t>
            </w:r>
          </w:p>
        </w:tc>
        <w:tc>
          <w:tcPr/>
          <w:p>
            <w:pPr>
              <w:pStyle w:val="Compact"/>
              <w:jc w:val="left"/>
            </w:pPr>
            <w:r>
              <w:t xml:space="preserve">Possible</w:t>
            </w:r>
          </w:p>
        </w:tc>
      </w:tr>
    </w:tbl>
    <w:p>
      <w:r>
        <w:br w:type="page"/>
      </w:r>
    </w:p>
    <w:bookmarkEnd w:id="174"/>
    <w:bookmarkStart w:id="175" w:name="table-2a"/>
    <w:p>
      <w:pPr>
        <w:pStyle w:val="berschrift2"/>
      </w:pPr>
      <w:r>
        <w:t xml:space="preserve">Table 2A</w:t>
      </w:r>
    </w:p>
    <w:bookmarkEnd w:id="175"/>
    <w:bookmarkStart w:id="176" w:name="X31d60ac5493862444dfa29f14142c0fd4d7c8fd"/>
    <w:p>
      <w:pPr>
        <w:pStyle w:val="berschrift2"/>
      </w:pPr>
      <w:r>
        <w:rPr>
          <w:iCs/>
          <w:i/>
        </w:rPr>
        <w:t xml:space="preserve">True Negative, False Positive,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Negative</w:t>
            </w:r>
          </w:p>
        </w:tc>
        <w:tc>
          <w:tcPr/>
          <w:p>
            <w:pPr>
              <w:pStyle w:val="Compact"/>
              <w:jc w:val="center"/>
            </w:pPr>
            <w:r>
              <w:t xml:space="preserve">Inconclusive</w:t>
            </w:r>
          </w:p>
        </w:tc>
        <w:tc>
          <w:tcPr/>
          <w:p>
            <w:pPr>
              <w:pStyle w:val="Compact"/>
              <w:jc w:val="center"/>
            </w:pPr>
            <w:r>
              <w:t xml:space="preserve">False Positive</w:t>
            </w:r>
          </w:p>
        </w:tc>
      </w:tr>
      <w:tr>
        <w:tc>
          <w:tcPr/>
          <w:p>
            <w:pPr>
              <w:pStyle w:val="Compact"/>
              <w:jc w:val="left"/>
            </w:pPr>
            <w:r>
              <w:t xml:space="preserve">Fixed</w:t>
            </w:r>
          </w:p>
        </w:tc>
        <w:tc>
          <w:tcPr/>
          <w:p>
            <w:pPr>
              <w:pStyle w:val="Compact"/>
              <w:jc w:val="center"/>
            </w:pPr>
            <w:r>
              <w:t xml:space="preserve">0.79</w:t>
            </w:r>
          </w:p>
        </w:tc>
        <w:tc>
          <w:tcPr/>
          <w:p>
            <w:pPr>
              <w:pStyle w:val="Compact"/>
              <w:jc w:val="center"/>
            </w:pPr>
            <w:r>
              <w:t xml:space="preserve">0.16</w:t>
            </w:r>
          </w:p>
        </w:tc>
        <w:tc>
          <w:tcPr/>
          <w:p>
            <w:pPr>
              <w:pStyle w:val="Compact"/>
              <w:jc w:val="center"/>
            </w:pPr>
            <w:r>
              <w:t xml:space="preserve">0.05</w:t>
            </w:r>
          </w:p>
        </w:tc>
      </w:tr>
      <w:tr>
        <w:tc>
          <w:tcPr/>
          <w:p>
            <w:pPr>
              <w:pStyle w:val="Compact"/>
              <w:jc w:val="left"/>
            </w:pPr>
            <w:r>
              <w:t xml:space="preserve">Pocock</w:t>
            </w:r>
          </w:p>
        </w:tc>
        <w:tc>
          <w:tcPr/>
          <w:p>
            <w:pPr>
              <w:pStyle w:val="Compact"/>
              <w:jc w:val="center"/>
            </w:pPr>
            <w:r>
              <w:t xml:space="preserve">0.88</w:t>
            </w:r>
          </w:p>
        </w:tc>
        <w:tc>
          <w:tcPr/>
          <w:p>
            <w:pPr>
              <w:pStyle w:val="Compact"/>
              <w:jc w:val="center"/>
            </w:pPr>
            <w:r>
              <w:t xml:space="preserve">0.07</w:t>
            </w:r>
          </w:p>
        </w:tc>
        <w:tc>
          <w:tcPr/>
          <w:p>
            <w:pPr>
              <w:pStyle w:val="Compact"/>
              <w:jc w:val="center"/>
            </w:pPr>
            <w:r>
              <w:t xml:space="preserve">0.05</w:t>
            </w:r>
          </w:p>
        </w:tc>
      </w:tr>
      <w:tr>
        <w:tc>
          <w:tcPr/>
          <w:p>
            <w:pPr>
              <w:pStyle w:val="Compact"/>
              <w:jc w:val="left"/>
            </w:pPr>
            <w:r>
              <w:t xml:space="preserve">O’Brien-Fleming</w:t>
            </w:r>
          </w:p>
        </w:tc>
        <w:tc>
          <w:tcPr/>
          <w:p>
            <w:pPr>
              <w:pStyle w:val="Compact"/>
              <w:jc w:val="center"/>
            </w:pPr>
            <w:r>
              <w:t xml:space="preserve">0.87</w:t>
            </w:r>
          </w:p>
        </w:tc>
        <w:tc>
          <w:tcPr/>
          <w:p>
            <w:pPr>
              <w:pStyle w:val="Compact"/>
              <w:jc w:val="center"/>
            </w:pPr>
            <w:r>
              <w:t xml:space="preserve">0.08</w:t>
            </w:r>
          </w:p>
        </w:tc>
        <w:tc>
          <w:tcPr/>
          <w:p>
            <w:pPr>
              <w:pStyle w:val="Compact"/>
              <w:jc w:val="center"/>
            </w:pPr>
            <w:r>
              <w:t xml:space="preserve">0.05</w:t>
            </w:r>
          </w:p>
        </w:tc>
      </w:tr>
      <w:tr>
        <w:tc>
          <w:tcPr/>
          <w:p>
            <w:pPr>
              <w:pStyle w:val="Compact"/>
              <w:jc w:val="left"/>
            </w:pPr>
            <w:r>
              <w:t xml:space="preserve">Bayes</w:t>
            </w:r>
          </w:p>
        </w:tc>
        <w:tc>
          <w:tcPr/>
          <w:p>
            <w:pPr>
              <w:pStyle w:val="Compact"/>
              <w:jc w:val="center"/>
            </w:pPr>
            <w:r>
              <w:t xml:space="preserve">0.85</w:t>
            </w:r>
          </w:p>
        </w:tc>
        <w:tc>
          <w:tcPr/>
          <w:p>
            <w:pPr>
              <w:pStyle w:val="Compact"/>
              <w:jc w:val="center"/>
            </w:pPr>
            <w:r>
              <w:t xml:space="preserve">0.09</w:t>
            </w:r>
          </w:p>
        </w:tc>
        <w:tc>
          <w:tcPr/>
          <w:p>
            <w:pPr>
              <w:pStyle w:val="Compact"/>
              <w:jc w:val="center"/>
            </w:pPr>
            <w:r>
              <w:t xml:space="preserve">0.06</w:t>
            </w:r>
          </w:p>
        </w:tc>
      </w:tr>
      <w:tr>
        <w:tc>
          <w:tcPr/>
          <w:p>
            <w:pPr>
              <w:pStyle w:val="Compact"/>
              <w:jc w:val="left"/>
            </w:pPr>
            <w:r>
              <w:t xml:space="preserve">ISP</w:t>
            </w:r>
          </w:p>
        </w:tc>
        <w:tc>
          <w:tcPr/>
          <w:p>
            <w:pPr>
              <w:pStyle w:val="Compact"/>
              <w:jc w:val="center"/>
            </w:pPr>
            <w:r>
              <w:t xml:space="preserve">0.90</w:t>
            </w:r>
          </w:p>
        </w:tc>
        <w:tc>
          <w:tcPr/>
          <w:p>
            <w:pPr>
              <w:pStyle w:val="Compact"/>
              <w:jc w:val="center"/>
            </w:pPr>
            <w:r>
              <w:t xml:space="preserve">0.05</w:t>
            </w:r>
          </w:p>
        </w:tc>
        <w:tc>
          <w:tcPr/>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6"/>
    <w:bookmarkStart w:id="177" w:name="table-2b"/>
    <w:p>
      <w:pPr>
        <w:pStyle w:val="berschrift2"/>
      </w:pPr>
      <w:r>
        <w:t xml:space="preserve">Table 2B</w:t>
      </w:r>
    </w:p>
    <w:bookmarkEnd w:id="177"/>
    <w:bookmarkStart w:id="178" w:name="Xfb3037f5c7761698b734856b6db49ffd13c4be5"/>
    <w:p>
      <w:pPr>
        <w:pStyle w:val="berschrift2"/>
      </w:pPr>
      <w:r>
        <w:rPr>
          <w:iCs/>
          <w:i/>
        </w:rPr>
        <w:t xml:space="preserve">True Positive, False Negative,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Positive</w:t>
            </w:r>
          </w:p>
        </w:tc>
        <w:tc>
          <w:tcPr/>
          <w:p>
            <w:pPr>
              <w:pStyle w:val="Compact"/>
              <w:jc w:val="center"/>
            </w:pPr>
            <w:r>
              <w:t xml:space="preserve">Inconclusive</w:t>
            </w:r>
          </w:p>
        </w:tc>
        <w:tc>
          <w:tcPr/>
          <w:p>
            <w:pPr>
              <w:pStyle w:val="Compact"/>
              <w:jc w:val="center"/>
            </w:pPr>
            <w:r>
              <w:t xml:space="preserve">False Negative</w:t>
            </w:r>
          </w:p>
        </w:tc>
      </w:tr>
      <w:tr>
        <w:tc>
          <w:tcPr/>
          <w:p>
            <w:pPr>
              <w:pStyle w:val="Compact"/>
              <w:jc w:val="left"/>
            </w:pPr>
            <w:r>
              <w:t xml:space="preserve">Fixed</w:t>
            </w:r>
          </w:p>
        </w:tc>
        <w:tc>
          <w:tcPr/>
          <w:p>
            <w:pPr>
              <w:pStyle w:val="Compact"/>
              <w:jc w:val="center"/>
            </w:pPr>
            <w:r>
              <w:t xml:space="preserve">0.80</w:t>
            </w:r>
          </w:p>
        </w:tc>
        <w:tc>
          <w:tcPr/>
          <w:p>
            <w:pPr>
              <w:pStyle w:val="Compact"/>
              <w:jc w:val="center"/>
            </w:pPr>
            <w:r>
              <w:t xml:space="preserve">0.09</w:t>
            </w:r>
          </w:p>
        </w:tc>
        <w:tc>
          <w:tcPr/>
          <w:p>
            <w:pPr>
              <w:pStyle w:val="Compact"/>
              <w:jc w:val="center"/>
            </w:pPr>
            <w:r>
              <w:t xml:space="preserve">0.10</w:t>
            </w:r>
          </w:p>
        </w:tc>
      </w:tr>
      <w:tr>
        <w:tc>
          <w:tcPr/>
          <w:p>
            <w:pPr>
              <w:pStyle w:val="Compact"/>
              <w:jc w:val="left"/>
            </w:pPr>
            <w:r>
              <w:t xml:space="preserve">Pocock</w:t>
            </w:r>
          </w:p>
        </w:tc>
        <w:tc>
          <w:tcPr/>
          <w:p>
            <w:pPr>
              <w:pStyle w:val="Compact"/>
              <w:jc w:val="center"/>
            </w:pPr>
            <w:r>
              <w:t xml:space="preserve">0.80</w:t>
            </w:r>
          </w:p>
        </w:tc>
        <w:tc>
          <w:tcPr/>
          <w:p>
            <w:pPr>
              <w:pStyle w:val="Compact"/>
              <w:jc w:val="center"/>
            </w:pPr>
            <w:r>
              <w:t xml:space="preserve">0.05</w:t>
            </w:r>
          </w:p>
        </w:tc>
        <w:tc>
          <w:tcPr/>
          <w:p>
            <w:pPr>
              <w:pStyle w:val="Compact"/>
              <w:jc w:val="center"/>
            </w:pPr>
            <w:r>
              <w:t xml:space="preserve">0.15</w:t>
            </w:r>
          </w:p>
        </w:tc>
      </w:tr>
      <w:tr>
        <w:tc>
          <w:tcPr/>
          <w:p>
            <w:pPr>
              <w:pStyle w:val="Compact"/>
              <w:jc w:val="left"/>
            </w:pPr>
            <w:r>
              <w:t xml:space="preserve">O’Brien-Fleming</w:t>
            </w:r>
          </w:p>
        </w:tc>
        <w:tc>
          <w:tcPr/>
          <w:p>
            <w:pPr>
              <w:pStyle w:val="Compact"/>
              <w:jc w:val="center"/>
            </w:pPr>
            <w:r>
              <w:t xml:space="preserve">0.82</w:t>
            </w:r>
          </w:p>
        </w:tc>
        <w:tc>
          <w:tcPr/>
          <w:p>
            <w:pPr>
              <w:pStyle w:val="Compact"/>
              <w:jc w:val="center"/>
            </w:pPr>
            <w:r>
              <w:t xml:space="preserve">0.06</w:t>
            </w:r>
          </w:p>
        </w:tc>
        <w:tc>
          <w:tcPr/>
          <w:p>
            <w:pPr>
              <w:pStyle w:val="Compact"/>
              <w:jc w:val="center"/>
            </w:pPr>
            <w:r>
              <w:t xml:space="preserve">0.13</w:t>
            </w:r>
          </w:p>
        </w:tc>
      </w:tr>
      <w:tr>
        <w:tc>
          <w:tcPr/>
          <w:p>
            <w:pPr>
              <w:pStyle w:val="Compact"/>
              <w:jc w:val="left"/>
            </w:pPr>
            <w:r>
              <w:t xml:space="preserve">Bayes</w:t>
            </w:r>
          </w:p>
        </w:tc>
        <w:tc>
          <w:tcPr/>
          <w:p>
            <w:pPr>
              <w:pStyle w:val="Compact"/>
              <w:jc w:val="center"/>
            </w:pPr>
            <w:r>
              <w:t xml:space="preserve">0.84</w:t>
            </w:r>
          </w:p>
        </w:tc>
        <w:tc>
          <w:tcPr/>
          <w:p>
            <w:pPr>
              <w:pStyle w:val="Compact"/>
              <w:jc w:val="center"/>
            </w:pPr>
            <w:r>
              <w:t xml:space="preserve">0.08</w:t>
            </w:r>
          </w:p>
        </w:tc>
        <w:tc>
          <w:tcPr/>
          <w:p>
            <w:pPr>
              <w:pStyle w:val="Compact"/>
              <w:jc w:val="center"/>
            </w:pPr>
            <w:r>
              <w:t xml:space="preserve">0.08</w:t>
            </w:r>
          </w:p>
        </w:tc>
      </w:tr>
      <w:tr>
        <w:tc>
          <w:tcPr/>
          <w:p>
            <w:pPr>
              <w:pStyle w:val="Compact"/>
              <w:jc w:val="left"/>
            </w:pPr>
            <w:r>
              <w:t xml:space="preserve">ISP</w:t>
            </w:r>
          </w:p>
        </w:tc>
        <w:tc>
          <w:tcPr/>
          <w:p>
            <w:pPr>
              <w:pStyle w:val="Compact"/>
              <w:jc w:val="center"/>
            </w:pPr>
            <w:r>
              <w:t xml:space="preserve">0.80</w:t>
            </w:r>
          </w:p>
        </w:tc>
        <w:tc>
          <w:tcPr/>
          <w:p>
            <w:pPr>
              <w:pStyle w:val="Compact"/>
              <w:jc w:val="center"/>
            </w:pPr>
            <w:r>
              <w:t xml:space="preserve">0.03</w:t>
            </w:r>
          </w:p>
        </w:tc>
        <w:tc>
          <w:tcPr/>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8"/>
    <w:bookmarkStart w:id="179" w:name="table-3"/>
    <w:p>
      <w:pPr>
        <w:pStyle w:val="berschrift2"/>
      </w:pPr>
      <w:r>
        <w:t xml:space="preserve">Table 3</w:t>
      </w:r>
    </w:p>
    <w:bookmarkEnd w:id="179"/>
    <w:bookmarkStart w:id="180" w:name="average-sample-size-required"/>
    <w:p>
      <w:pPr>
        <w:pStyle w:val="berschrift2"/>
      </w:pPr>
      <w:r>
        <w:rPr>
          <w:iCs/>
          <w:i/>
        </w:rPr>
        <w:t xml:space="preserve">Average Sample Size Required</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r>
      <w:tr>
        <w:tc>
          <w:tcPr/>
          <w:p>
            <w:pPr>
              <w:pStyle w:val="Compact"/>
              <w:jc w:val="left"/>
            </w:pPr>
            <w:r>
              <w:t xml:space="preserve">Pocock</w:t>
            </w:r>
          </w:p>
        </w:tc>
        <w:tc>
          <w:tcPr/>
          <w:p>
            <w:pPr>
              <w:pStyle w:val="Compact"/>
              <w:jc w:val="right"/>
            </w:pPr>
            <w:r>
              <w:t xml:space="preserve">26</w:t>
            </w:r>
          </w:p>
        </w:tc>
        <w:tc>
          <w:tcPr/>
          <w:p>
            <w:pPr>
              <w:pStyle w:val="Compact"/>
              <w:jc w:val="right"/>
            </w:pPr>
            <w:r>
              <w:t xml:space="preserve">32</w:t>
            </w:r>
          </w:p>
        </w:tc>
        <w:tc>
          <w:tcPr/>
          <w:p>
            <w:pPr>
              <w:pStyle w:val="Compact"/>
              <w:jc w:val="right"/>
            </w:pPr>
            <w:r>
              <w:t xml:space="preserve">39</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24</w:t>
            </w:r>
          </w:p>
        </w:tc>
      </w:tr>
      <w:tr>
        <w:tc>
          <w:tcPr/>
          <w:p>
            <w:pPr>
              <w:pStyle w:val="Compact"/>
              <w:jc w:val="left"/>
            </w:pPr>
            <w:r>
              <w:t xml:space="preserve">O’Brien-Fleming</w:t>
            </w:r>
          </w:p>
        </w:tc>
        <w:tc>
          <w:tcPr/>
          <w:p>
            <w:pPr>
              <w:pStyle w:val="Compact"/>
              <w:jc w:val="right"/>
            </w:pPr>
            <w:r>
              <w:t xml:space="preserve">30</w:t>
            </w:r>
          </w:p>
        </w:tc>
        <w:tc>
          <w:tcPr/>
          <w:p>
            <w:pPr>
              <w:pStyle w:val="Compact"/>
              <w:jc w:val="right"/>
            </w:pPr>
            <w:r>
              <w:t xml:space="preserve">34</w:t>
            </w:r>
          </w:p>
        </w:tc>
        <w:tc>
          <w:tcPr/>
          <w:p>
            <w:pPr>
              <w:pStyle w:val="Compact"/>
              <w:jc w:val="right"/>
            </w:pPr>
            <w:r>
              <w:t xml:space="preserve">41</w:t>
            </w:r>
          </w:p>
        </w:tc>
        <w:tc>
          <w:tcPr/>
          <w:p>
            <w:pPr>
              <w:pStyle w:val="Compact"/>
              <w:jc w:val="right"/>
            </w:pPr>
            <w:r>
              <w:t xml:space="preserve">43</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33</w:t>
            </w:r>
          </w:p>
        </w:tc>
        <w:tc>
          <w:tcPr/>
          <w:p>
            <w:pPr>
              <w:pStyle w:val="Compact"/>
              <w:jc w:val="right"/>
            </w:pPr>
            <w:r>
              <w:t xml:space="preserve">30</w:t>
            </w:r>
          </w:p>
        </w:tc>
      </w:tr>
      <w:tr>
        <w:tc>
          <w:tcPr/>
          <w:p>
            <w:pPr>
              <w:pStyle w:val="Compact"/>
              <w:jc w:val="left"/>
            </w:pPr>
            <w:r>
              <w:t xml:space="preserve">Bayes</w:t>
            </w:r>
          </w:p>
        </w:tc>
        <w:tc>
          <w:tcPr/>
          <w:p>
            <w:pPr>
              <w:pStyle w:val="Compact"/>
              <w:jc w:val="right"/>
            </w:pPr>
            <w:r>
              <w:t xml:space="preserve">30</w:t>
            </w:r>
          </w:p>
        </w:tc>
        <w:tc>
          <w:tcPr/>
          <w:p>
            <w:pPr>
              <w:pStyle w:val="Compact"/>
              <w:jc w:val="right"/>
            </w:pPr>
            <w:r>
              <w:t xml:space="preserve">39</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37</w:t>
            </w:r>
          </w:p>
        </w:tc>
        <w:tc>
          <w:tcPr/>
          <w:p>
            <w:pPr>
              <w:pStyle w:val="Compact"/>
              <w:jc w:val="right"/>
            </w:pPr>
            <w:r>
              <w:t xml:space="preserve">30</w:t>
            </w:r>
          </w:p>
        </w:tc>
        <w:tc>
          <w:tcPr/>
          <w:p>
            <w:pPr>
              <w:pStyle w:val="Compact"/>
              <w:jc w:val="right"/>
            </w:pPr>
            <w:r>
              <w:t xml:space="preserve">26</w:t>
            </w:r>
          </w:p>
        </w:tc>
      </w:tr>
      <w:tr>
        <w:tc>
          <w:tcPr/>
          <w:p>
            <w:pPr>
              <w:pStyle w:val="Compact"/>
              <w:jc w:val="left"/>
            </w:pPr>
            <w:r>
              <w:t xml:space="preserve">ISP</w:t>
            </w:r>
          </w:p>
        </w:tc>
        <w:tc>
          <w:tcPr/>
          <w:p>
            <w:pPr>
              <w:pStyle w:val="Compact"/>
              <w:jc w:val="right"/>
            </w:pPr>
            <w:r>
              <w:t xml:space="preserve">28</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45</w:t>
            </w:r>
          </w:p>
        </w:tc>
        <w:tc>
          <w:tcPr/>
          <w:p>
            <w:pPr>
              <w:pStyle w:val="Compact"/>
              <w:jc w:val="right"/>
            </w:pPr>
            <w:r>
              <w:t xml:space="preserve">42</w:t>
            </w:r>
          </w:p>
        </w:tc>
        <w:tc>
          <w:tcPr/>
          <w:p>
            <w:pPr>
              <w:pStyle w:val="Compact"/>
              <w:jc w:val="right"/>
            </w:pPr>
            <w:r>
              <w:t xml:space="preserve">39</w:t>
            </w:r>
          </w:p>
        </w:tc>
        <w:tc>
          <w:tcPr/>
          <w:p>
            <w:pPr>
              <w:pStyle w:val="Compact"/>
              <w:jc w:val="right"/>
            </w:pPr>
            <w:r>
              <w:t xml:space="preserve">31</w:t>
            </w:r>
          </w:p>
        </w:tc>
        <w:tc>
          <w:tcPr/>
          <w:p>
            <w:pPr>
              <w:pStyle w:val="Compact"/>
              <w:jc w:val="right"/>
            </w:pPr>
            <w:r>
              <w:t xml:space="preserve">27</w:t>
            </w:r>
          </w:p>
        </w:tc>
      </w:tr>
    </w:tbl>
    <w:p>
      <w:r>
        <w:br w:type="page"/>
      </w:r>
    </w:p>
    <w:bookmarkEnd w:id="180"/>
    <w:bookmarkStart w:id="181" w:name="table-4"/>
    <w:p>
      <w:pPr>
        <w:pStyle w:val="berschrift2"/>
      </w:pPr>
      <w:r>
        <w:t xml:space="preserve">Table 4</w:t>
      </w:r>
    </w:p>
    <w:bookmarkEnd w:id="181"/>
    <w:bookmarkStart w:id="182" w:name="median-effect-size-estimate"/>
    <w:p>
      <w:pPr>
        <w:pStyle w:val="berschrift2"/>
      </w:pPr>
      <w:r>
        <w:rPr>
          <w:iCs/>
          <w:i/>
        </w:rPr>
        <w:t xml:space="preserve">Median Effect Size Estimate</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0.20</w:t>
            </w:r>
          </w:p>
        </w:tc>
        <w:tc>
          <w:tcPr/>
          <w:p>
            <w:pPr>
              <w:pStyle w:val="Compact"/>
              <w:jc w:val="right"/>
            </w:pPr>
            <w:r>
              <w:t xml:space="preserve">0.40</w:t>
            </w:r>
          </w:p>
        </w:tc>
        <w:tc>
          <w:tcPr/>
          <w:p>
            <w:pPr>
              <w:pStyle w:val="Compact"/>
              <w:jc w:val="right"/>
            </w:pPr>
            <w:r>
              <w:t xml:space="preserve">0.50</w:t>
            </w:r>
          </w:p>
        </w:tc>
        <w:tc>
          <w:tcPr/>
          <w:p>
            <w:pPr>
              <w:pStyle w:val="Compact"/>
              <w:jc w:val="right"/>
            </w:pPr>
            <w:r>
              <w:t xml:space="preserve">0.60</w:t>
            </w:r>
          </w:p>
        </w:tc>
        <w:tc>
          <w:tcPr/>
          <w:p>
            <w:pPr>
              <w:pStyle w:val="Compact"/>
              <w:jc w:val="right"/>
            </w:pPr>
            <w:r>
              <w:t xml:space="preserve">0.80</w:t>
            </w:r>
          </w:p>
        </w:tc>
        <w:tc>
          <w:tcPr/>
          <w:p>
            <w:pPr>
              <w:pStyle w:val="Compact"/>
              <w:jc w:val="right"/>
            </w:pPr>
            <w:r>
              <w:t xml:space="preserve">1.00</w:t>
            </w:r>
          </w:p>
        </w:tc>
      </w:tr>
      <w:tr>
        <w:tc>
          <w:tcPr/>
          <w:p>
            <w:pPr>
              <w:pStyle w:val="Compact"/>
              <w:jc w:val="left"/>
            </w:pPr>
            <w:r>
              <w:t xml:space="preserve">Pocock</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0.13</w:t>
            </w:r>
          </w:p>
        </w:tc>
        <w:tc>
          <w:tcPr/>
          <w:p>
            <w:pPr>
              <w:pStyle w:val="Compact"/>
              <w:jc w:val="right"/>
            </w:pPr>
            <w:r>
              <w:t xml:space="preserve">0.45</w:t>
            </w:r>
          </w:p>
        </w:tc>
        <w:tc>
          <w:tcPr/>
          <w:p>
            <w:pPr>
              <w:pStyle w:val="Compact"/>
              <w:jc w:val="right"/>
            </w:pPr>
            <w:r>
              <w:t xml:space="preserve">0.56</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O’Brien-Fleming</w:t>
            </w:r>
          </w:p>
        </w:tc>
        <w:tc>
          <w:tcPr/>
          <w:p>
            <w:pPr>
              <w:pStyle w:val="Compact"/>
              <w:jc w:val="right"/>
            </w:pPr>
            <w:r>
              <w:t xml:space="preserve">-0.20</w:t>
            </w:r>
          </w:p>
        </w:tc>
        <w:tc>
          <w:tcPr/>
          <w:p>
            <w:pPr>
              <w:pStyle w:val="Compact"/>
              <w:jc w:val="right"/>
            </w:pPr>
            <w:r>
              <w:t xml:space="preserve">-0.02</w:t>
            </w:r>
          </w:p>
        </w:tc>
        <w:tc>
          <w:tcPr/>
          <w:p>
            <w:pPr>
              <w:pStyle w:val="Compact"/>
              <w:jc w:val="right"/>
            </w:pPr>
            <w:r>
              <w:t xml:space="preserve">0.16</w:t>
            </w:r>
          </w:p>
        </w:tc>
        <w:tc>
          <w:tcPr/>
          <w:p>
            <w:pPr>
              <w:pStyle w:val="Compact"/>
              <w:jc w:val="right"/>
            </w:pPr>
            <w:r>
              <w:t xml:space="preserve">0.45</w:t>
            </w:r>
          </w:p>
        </w:tc>
        <w:tc>
          <w:tcPr/>
          <w:p>
            <w:pPr>
              <w:pStyle w:val="Compact"/>
              <w:jc w:val="right"/>
            </w:pPr>
            <w:r>
              <w:t xml:space="preserve">0.53</w:t>
            </w:r>
          </w:p>
        </w:tc>
        <w:tc>
          <w:tcPr/>
          <w:p>
            <w:pPr>
              <w:pStyle w:val="Compact"/>
              <w:jc w:val="right"/>
            </w:pPr>
            <w:r>
              <w:t xml:space="preserve">0.64</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Bayes</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0.47</w:t>
            </w:r>
          </w:p>
        </w:tc>
        <w:tc>
          <w:tcPr/>
          <w:p>
            <w:pPr>
              <w:pStyle w:val="Compact"/>
              <w:jc w:val="right"/>
            </w:pPr>
            <w:r>
              <w:t xml:space="preserve">0.57</w:t>
            </w:r>
          </w:p>
        </w:tc>
        <w:tc>
          <w:tcPr/>
          <w:p>
            <w:pPr>
              <w:pStyle w:val="Compact"/>
              <w:jc w:val="right"/>
            </w:pPr>
            <w:r>
              <w:t xml:space="preserve">0.65</w:t>
            </w:r>
          </w:p>
        </w:tc>
        <w:tc>
          <w:tcPr/>
          <w:p>
            <w:pPr>
              <w:pStyle w:val="Compact"/>
              <w:jc w:val="right"/>
            </w:pPr>
            <w:r>
              <w:t xml:space="preserve">0.83</w:t>
            </w:r>
          </w:p>
        </w:tc>
        <w:tc>
          <w:tcPr/>
          <w:p>
            <w:pPr>
              <w:pStyle w:val="Compact"/>
              <w:jc w:val="right"/>
            </w:pPr>
            <w:r>
              <w:t xml:space="preserve">1.03</w:t>
            </w:r>
          </w:p>
        </w:tc>
      </w:tr>
      <w:tr>
        <w:tc>
          <w:tcPr/>
          <w:p>
            <w:pPr>
              <w:pStyle w:val="Compact"/>
              <w:jc w:val="left"/>
            </w:pPr>
            <w:r>
              <w:t xml:space="preserve">ISP</w:t>
            </w:r>
          </w:p>
        </w:tc>
        <w:tc>
          <w:tcPr/>
          <w:p>
            <w:pPr>
              <w:pStyle w:val="Compact"/>
              <w:jc w:val="right"/>
            </w:pPr>
            <w:r>
              <w:t xml:space="preserve">-0.23</w:t>
            </w:r>
          </w:p>
        </w:tc>
        <w:tc>
          <w:tcPr/>
          <w:p>
            <w:pPr>
              <w:pStyle w:val="Compact"/>
              <w:jc w:val="right"/>
            </w:pPr>
            <w:r>
              <w:t xml:space="preserve">-0.08</w:t>
            </w:r>
          </w:p>
        </w:tc>
        <w:tc>
          <w:tcPr/>
          <w:p>
            <w:pPr>
              <w:pStyle w:val="Compact"/>
              <w:jc w:val="right"/>
            </w:pPr>
            <w:r>
              <w:t xml:space="preserve">0.05</w:t>
            </w:r>
          </w:p>
        </w:tc>
        <w:tc>
          <w:tcPr/>
          <w:p>
            <w:pPr>
              <w:pStyle w:val="Compact"/>
              <w:jc w:val="right"/>
            </w:pPr>
            <w:r>
              <w:t xml:space="preserve">0.57</w:t>
            </w:r>
          </w:p>
        </w:tc>
        <w:tc>
          <w:tcPr/>
          <w:p>
            <w:pPr>
              <w:pStyle w:val="Compact"/>
              <w:jc w:val="right"/>
            </w:pPr>
            <w:r>
              <w:t xml:space="preserve">0.66</w:t>
            </w:r>
          </w:p>
        </w:tc>
        <w:tc>
          <w:tcPr/>
          <w:p>
            <w:pPr>
              <w:pStyle w:val="Compact"/>
              <w:jc w:val="right"/>
            </w:pPr>
            <w:r>
              <w:t xml:space="preserve">0.74</w:t>
            </w:r>
          </w:p>
        </w:tc>
        <w:tc>
          <w:tcPr/>
          <w:p>
            <w:pPr>
              <w:pStyle w:val="Compact"/>
              <w:jc w:val="right"/>
            </w:pPr>
            <w:r>
              <w:t xml:space="preserve">0.87</w:t>
            </w:r>
          </w:p>
        </w:tc>
        <w:tc>
          <w:tcPr/>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The effect size measure is Cohen’s d. </w:t>
      </w:r>
    </w:p>
    <w:p>
      <w:r>
        <w:br w:type="page"/>
      </w:r>
    </w:p>
    <w:bookmarkEnd w:id="182"/>
    <w:bookmarkStart w:id="183" w:name="figure-1a"/>
    <w:p>
      <w:pPr>
        <w:pStyle w:val="berschrift2"/>
      </w:pPr>
      <w:r>
        <w:t xml:space="preserve">Figure 1A</w:t>
      </w:r>
    </w:p>
    <w:bookmarkEnd w:id="183"/>
    <w:bookmarkStart w:id="185"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4"/>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5"/>
    <w:bookmarkStart w:id="186" w:name="figure-1b"/>
    <w:p>
      <w:pPr>
        <w:pStyle w:val="berschrift2"/>
      </w:pPr>
      <w:r>
        <w:t xml:space="preserve">Figure 1B</w:t>
      </w:r>
    </w:p>
    <w:bookmarkEnd w:id="186"/>
    <w:bookmarkStart w:id="188"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7"/>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8"/>
    <w:bookmarkStart w:id="189" w:name="figure-2a"/>
    <w:p>
      <w:pPr>
        <w:pStyle w:val="berschrift2"/>
      </w:pPr>
      <w:r>
        <w:t xml:space="preserve">Figure 2A</w:t>
      </w:r>
    </w:p>
    <w:bookmarkEnd w:id="189"/>
    <w:bookmarkStart w:id="191" w:name="X381fd62373a827a52d7a7ac1e2f4a819ae8adb2"/>
    <w:p>
      <w:pPr>
        <w:pStyle w:val="berschrift2"/>
      </w:pPr>
      <w:r>
        <w:rPr>
          <w:iCs/>
          <w:i/>
        </w:rPr>
        <w:t xml:space="preserve">Bayes Factor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90"/>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10</m:t>
            </m:r>
          </m:sub>
        </m:sSub>
      </m:oMath>
      <w:r>
        <w:t xml:space="preserve"> </w:t>
      </w:r>
      <w:r>
        <w:t xml:space="preserve">= 3 indicates that the alternative hypothesis (</w:t>
      </w:r>
      <m:oMath>
        <m:sSub>
          <m:e>
            <m:r>
              <m:t>H</m:t>
            </m:r>
          </m:e>
          <m:sub>
            <m:r>
              <m:t>1</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91"/>
    <w:bookmarkStart w:id="192" w:name="figure-2b"/>
    <w:p>
      <w:pPr>
        <w:pStyle w:val="berschrift2"/>
      </w:pPr>
      <w:r>
        <w:t xml:space="preserve">Figure 2B</w:t>
      </w:r>
    </w:p>
    <w:bookmarkEnd w:id="192"/>
    <w:bookmarkStart w:id="194"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3"/>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01</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t>1</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4"/>
    <w:bookmarkStart w:id="195" w:name="figure-3a"/>
    <w:p>
      <w:pPr>
        <w:pStyle w:val="berschrift2"/>
      </w:pPr>
      <w:r>
        <w:t xml:space="preserve">Figure 3A</w:t>
      </w:r>
    </w:p>
    <w:bookmarkEnd w:id="195"/>
    <w:bookmarkStart w:id="197"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7"/>
    <w:bookmarkStart w:id="198" w:name="figure-3b"/>
    <w:p>
      <w:pPr>
        <w:pStyle w:val="berschrift2"/>
      </w:pPr>
      <w:r>
        <w:t xml:space="preserve">Figure 3B</w:t>
      </w:r>
    </w:p>
    <w:bookmarkEnd w:id="198"/>
    <w:bookmarkStart w:id="200"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9"/>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200"/>
    <w:bookmarkStart w:id="201" w:name="figure-4"/>
    <w:p>
      <w:pPr>
        <w:pStyle w:val="berschrift2"/>
      </w:pPr>
      <w:r>
        <w:t xml:space="preserve">Figure 4</w:t>
      </w:r>
    </w:p>
    <w:bookmarkEnd w:id="201"/>
    <w:bookmarkStart w:id="203"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2"/>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3"/>
    <w:bookmarkStart w:id="204" w:name="figure-5"/>
    <w:p>
      <w:pPr>
        <w:pStyle w:val="berschrift2"/>
      </w:pPr>
      <w:r>
        <w:t xml:space="preserve">Figure 5</w:t>
      </w:r>
    </w:p>
    <w:bookmarkEnd w:id="204"/>
    <w:bookmarkStart w:id="206"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5"/>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6"/>
    <w:bookmarkStart w:id="207" w:name="figure-6"/>
    <w:p>
      <w:pPr>
        <w:pStyle w:val="berschrift2"/>
      </w:pPr>
      <w:r>
        <w:t xml:space="preserve">Figure 6</w:t>
      </w:r>
    </w:p>
    <w:bookmarkEnd w:id="207"/>
    <w:bookmarkStart w:id="209"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8"/>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9"/>
    <w:bookmarkStart w:id="210" w:name="figure-7"/>
    <w:p>
      <w:pPr>
        <w:pStyle w:val="berschrift2"/>
      </w:pPr>
      <w:r>
        <w:t xml:space="preserve">Figure 7</w:t>
      </w:r>
    </w:p>
    <w:bookmarkEnd w:id="210"/>
    <w:bookmarkStart w:id="212"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1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2"/>
    <w:bookmarkStart w:id="213" w:name="figure-8"/>
    <w:p>
      <w:pPr>
        <w:pStyle w:val="berschrift2"/>
      </w:pPr>
      <w:r>
        <w:t xml:space="preserve">Figure 8</w:t>
      </w:r>
    </w:p>
    <w:bookmarkEnd w:id="213"/>
    <w:bookmarkStart w:id="215"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5"/>
    <w:bookmarkStart w:id="216" w:name="figure-9"/>
    <w:p>
      <w:pPr>
        <w:pStyle w:val="berschrift2"/>
      </w:pPr>
      <w:r>
        <w:t xml:space="preserve">Figure 9</w:t>
      </w:r>
    </w:p>
    <w:bookmarkEnd w:id="216"/>
    <w:bookmarkStart w:id="218"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7"/>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8"/>
    <w:bookmarkEnd w:id="2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84" Target="media/rId184.tiff" /><Relationship Type="http://schemas.openxmlformats.org/officeDocument/2006/relationships/image" Id="rId187" Target="media/rId187.tiff" /><Relationship Type="http://schemas.openxmlformats.org/officeDocument/2006/relationships/image" Id="rId190" Target="media/rId190.tiff" /><Relationship Type="http://schemas.openxmlformats.org/officeDocument/2006/relationships/image" Id="rId193" Target="media/rId193.tiff" /><Relationship Type="http://schemas.openxmlformats.org/officeDocument/2006/relationships/image" Id="rId196" Target="media/rId196.tiff" /><Relationship Type="http://schemas.openxmlformats.org/officeDocument/2006/relationships/image" Id="rId199" Target="media/rId199.tiff" /><Relationship Type="http://schemas.openxmlformats.org/officeDocument/2006/relationships/image" Id="rId202" Target="media/rId202.tiff" /><Relationship Type="http://schemas.openxmlformats.org/officeDocument/2006/relationships/image" Id="rId205" Target="media/rId205.tiff" /><Relationship Type="http://schemas.openxmlformats.org/officeDocument/2006/relationships/image" Id="rId208" Target="media/rId208.tiff" /><Relationship Type="http://schemas.openxmlformats.org/officeDocument/2006/relationships/image" Id="rId211" Target="media/rId211.tiff" /><Relationship Type="http://schemas.openxmlformats.org/officeDocument/2006/relationships/image" Id="rId214" Target="media/rId214.tiff" /><Relationship Type="http://schemas.openxmlformats.org/officeDocument/2006/relationships/image" Id="rId217" Target="media/rId217.tiff" /><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8"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70" Target="https://CRAN.R-project.org/package=readr" TargetMode="External" /><Relationship Type="http://schemas.openxmlformats.org/officeDocument/2006/relationships/hyperlink" Id="rId156" Target="https://CRAN.R-project.org/package=rpact" TargetMode="External" /><Relationship Type="http://schemas.openxmlformats.org/officeDocument/2006/relationships/hyperlink" Id="rId160"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4"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4"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148"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51"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8"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_rels/footnotes.xml.rels><?xml version="1.0" encoding="UTF-8"?><Relationships xmlns="http://schemas.openxmlformats.org/package/2006/relationships"><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8"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70" Target="https://CRAN.R-project.org/package=readr" TargetMode="External" /><Relationship Type="http://schemas.openxmlformats.org/officeDocument/2006/relationships/hyperlink" Id="rId156" Target="https://CRAN.R-project.org/package=rpact" TargetMode="External" /><Relationship Type="http://schemas.openxmlformats.org/officeDocument/2006/relationships/hyperlink" Id="rId160"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4"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4"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148"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51"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8"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 Approaches and Trade-offs</dc:title>
  <dc:creator/>
  <cp:keywords/>
  <dcterms:created xsi:type="dcterms:W3CDTF">2021-11-06T17:38:41Z</dcterms:created>
  <dcterms:modified xsi:type="dcterms:W3CDTF">2021-11-06T17:38:41Z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