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0.tiff" ContentType="image/tiff"/>
  <Override PartName="/word/media/rId183.tiff" ContentType="image/tiff"/>
  <Override PartName="/word/media/rId186.tiff" ContentType="image/tiff"/>
  <Override PartName="/word/media/rId189.tiff" ContentType="image/tiff"/>
  <Override PartName="/word/media/rId192.tiff" ContentType="image/tiff"/>
  <Override PartName="/word/media/rId195.tiff" ContentType="image/tiff"/>
  <Override PartName="/word/media/rId198.tiff" ContentType="image/tiff"/>
  <Override PartName="/word/media/rId201.tiff" ContentType="image/tiff"/>
  <Override PartName="/word/media/rId204.tiff" ContentType="image/tiff"/>
  <Override PartName="/word/media/rId207.tiff" ContentType="image/tiff"/>
  <Override PartName="/word/media/rId210.tiff" ContentType="image/tiff"/>
  <Override PartName="/word/media/rId213.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et al., 2018; D. Lakens, 2014; Miller &amp; Ulrich, 2020; Schnuerch &amp; Erdfelder, 2020; Schonbrodt,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et al., 2006; Schonbrodt et al.,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20%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increases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24 participants per group per look.</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w:t>
      </w:r>
      <w:r>
        <w:t xml:space="preserve"> </w:t>
      </w:r>
      <m:oMath>
        <m:r>
          <m:t>δ</m:t>
        </m:r>
      </m:oMath>
      <w:r>
        <w:t xml:space="preserve"> </w:t>
      </w:r>
      <w:r>
        <w:t xml:space="preserve">= 0.5)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described above: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For the O’Brien-Fleming-like procedure, the critical levels are</w:t>
      </w:r>
      <w:r>
        <w:t xml:space="preserve"> </w:t>
      </w:r>
      <m:oMath>
        <m:sSub>
          <m:e>
            <m:r>
              <m:t>α</m:t>
            </m:r>
          </m:e>
          <m:sub>
            <m:r>
              <m:t>1</m:t>
            </m:r>
            <m:r>
              <m:rPr>
                <m:sty m:val="p"/>
              </m:rPr>
              <m:t>,</m:t>
            </m:r>
            <m:r>
              <m:t>1</m:t>
            </m:r>
          </m:sub>
        </m:sSub>
      </m:oMath>
      <w:r>
        <w:t xml:space="preserve"> </w:t>
      </w:r>
      <w:r>
        <w:t xml:space="preserve">= .00069 for the first look,</w:t>
      </w:r>
      <w:r>
        <w:t xml:space="preserve"> </w:t>
      </w:r>
      <m:oMath>
        <m:sSub>
          <m:e>
            <m:r>
              <m:t>α</m:t>
            </m:r>
          </m:e>
          <m:sub>
            <m:r>
              <m:t>1</m:t>
            </m:r>
            <m:r>
              <m:rPr>
                <m:sty m:val="p"/>
              </m:rPr>
              <m:t>,</m:t>
            </m:r>
            <m:r>
              <m:t>2</m:t>
            </m:r>
          </m:sub>
        </m:sSub>
      </m:oMath>
      <w:r>
        <w:t xml:space="preserve"> </w:t>
      </w:r>
      <w:r>
        <w:t xml:space="preserve">= .016 for the second look, and</w:t>
      </w:r>
      <w:r>
        <w:t xml:space="preserve"> </w:t>
      </w:r>
      <m:oMath>
        <m:sSub>
          <m:e>
            <m:r>
              <m:t>α</m:t>
            </m:r>
          </m:e>
          <m:sub>
            <m:r>
              <m:t>1</m:t>
            </m:r>
            <m:r>
              <m:rPr>
                <m:sty m:val="p"/>
              </m:rPr>
              <m:t>,</m:t>
            </m:r>
            <m:r>
              <m:t>3</m:t>
            </m:r>
          </m:sub>
        </m:sSub>
      </m:oMath>
      <w:r>
        <w:t xml:space="preserve"> </w:t>
      </w:r>
      <w:r>
        <w:t xml:space="preserve">= .045 for the last look.</w:t>
      </w:r>
    </w:p>
    <w:p>
      <w:pPr>
        <w:pStyle w:val="Textkrper"/>
      </w:pPr>
      <w:r>
        <w:t xml:space="preserve">The futility bounds for our example Pocock-like design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.12 for the second look. For the O’Brien-Fleming-like design, the futility bounds are</w:t>
      </w:r>
      <w:r>
        <w:t xml:space="preserve"> </w:t>
      </w:r>
      <m:oMath>
        <m:sSub>
          <m:e>
            <m:r>
              <m:t>α</m:t>
            </m:r>
          </m:e>
          <m:sub>
            <m:r>
              <m:t>0</m:t>
            </m:r>
            <m:r>
              <m:rPr>
                <m:sty m:val="p"/>
              </m:rPr>
              <m:t>,</m:t>
            </m:r>
            <m:r>
              <m:t>1</m:t>
            </m:r>
          </m:sub>
        </m:sSub>
      </m:oMath>
      <w:r>
        <w:t xml:space="preserve"> </w:t>
      </w:r>
      <w:r>
        <w:t xml:space="preserve">= .66 for the first look and</w:t>
      </w:r>
      <w:r>
        <w:t xml:space="preserve"> </w:t>
      </w:r>
      <m:oMath>
        <m:sSub>
          <m:e>
            <m:r>
              <m:t>α</m:t>
            </m:r>
          </m:e>
          <m:sub>
            <m:r>
              <m:t>0</m:t>
            </m:r>
            <m:r>
              <m:rPr>
                <m:sty m:val="p"/>
              </m:rPr>
              <m:t>,</m:t>
            </m:r>
            <m:r>
              <m:t>2</m:t>
            </m:r>
          </m:sub>
        </m:sSub>
      </m:oMath>
      <w:r>
        <w:t xml:space="preserve"> </w:t>
      </w:r>
      <w:r>
        <w:t xml:space="preserve">= .18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t>g</m:t>
            </m:r>
            <m:r>
              <m:t>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g</m:t>
            </m:r>
            <m:r>
              <m:t>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Schonbrodt et al.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w:t>
      </w:r>
      <w:r>
        <w:t xml:space="preserve"> </w:t>
      </w:r>
      <w:r>
        <w:t xml:space="preserve">(even after every study participant; Schonbrodt et al., 2017)</w:t>
      </w:r>
      <w:r>
        <w:t xml:space="preserve">. Third, it does not allow type I and type II error rates to be defined a priori</w:t>
      </w:r>
      <w:r>
        <w:t xml:space="preserve"> </w:t>
      </w:r>
      <w:r>
        <w:t xml:space="preserve">(although simulations can be run to choose an optimal design that controls expected error rates, Schonbrodt &amp; Wagenmakers, 2018; Schonbrodt et al., 2017; Stefan, Schönbrodt,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Schonbrodt et al. (2017)</w:t>
      </w:r>
      <w:r>
        <w:t xml:space="preserve">. Ideally, a Bayes Factor Design Analysis or simulations can be run to choose an optimal design that controls expected error rates</w:t>
      </w:r>
      <w:r>
        <w:t xml:space="preserve"> </w:t>
      </w:r>
      <w:r>
        <w:t xml:space="preserve">(Schonbrodt &amp; Wagenmakers, 2018)</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the researcher can, for example, choose the default prior distribution</w:t>
      </w:r>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Morey &amp; Rouder, 2011; Schnuerch &amp; Erdfelder, 2020; Schonbrodt et al., 2017)</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w:t>
      </w:r>
      <w:r>
        <w:t xml:space="preserve"> </w:t>
      </w:r>
      <w:r>
        <w:t xml:space="preserve">(commonly referred to as</w:t>
      </w:r>
      <w:r>
        <w:t xml:space="preserve"> </w:t>
      </w:r>
      <w:r>
        <w:t xml:space="preserve">“</w:t>
      </w:r>
      <w:r>
        <w:rPr>
          <w:iCs/>
          <w:i/>
        </w:rPr>
        <w:t xml:space="preserve">moderate evidence</w:t>
      </w:r>
      <w:r>
        <w:t xml:space="preserve">”</w:t>
      </w:r>
      <w:r>
        <w:t xml:space="preserve">; Schonbrodt et al.,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(Schonbrodt &amp; Wagenmakers, 2018)</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t>I</m:t>
            </m:r>
            <m:r>
              <m:t>S</m:t>
            </m:r>
            <m:r>
              <m:t>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Fisher, 1999)</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and wishes to test a single, key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t>I</m:t>
            </m:r>
            <m:r>
              <m:t>S</m:t>
            </m:r>
            <m:r>
              <m:t>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t>I</m:t>
            </m:r>
            <m:r>
              <m:t>S</m:t>
            </m:r>
            <m:r>
              <m:t>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w:t>
      </w:r>
      <w:r>
        <w:t xml:space="preserve"> </w:t>
      </w:r>
      <w:r>
        <w:t xml:space="preserve">(unless you follow the Likelihood paradigm of statistical inference, which is beyond the scope of this paper; Blume, 2002; Goodman &amp; Royall, 1988; Schnuerch &amp; Erdfelder, 2020)</w:t>
      </w:r>
      <w:r>
        <w:t xml:space="preserve">. Ultimately, the question is what is more important to the researcher</w:t>
      </w:r>
      <w:r>
        <w:t xml:space="preserve"> </w:t>
      </w:r>
      <w:r>
        <w:t xml:space="preserve">(D. Lakens, 2021)</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(Schonbrodt et al.,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(Schonbrodt et al.,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et al., 2004; Goodman, 2007)</w:t>
      </w:r>
      <w:r>
        <w:t xml:space="preserve"> </w:t>
      </w:r>
      <w:r>
        <w:t xml:space="preserve">and Sequential Bayes Factors</w:t>
      </w:r>
      <w:r>
        <w:t xml:space="preserve"> </w:t>
      </w:r>
      <w:r>
        <w:t xml:space="preserve">(Schonbrodt et al., 2017)</w:t>
      </w:r>
      <w:r>
        <w:t xml:space="preserve"> </w:t>
      </w:r>
      <w:r>
        <w:t xml:space="preserve">is small. Thus, group-sequential designs and Sequential Bayes Factors can increase research efficiency at only a slight cost to our ability to estimate the true effect size. No such investigation, however, has been conducted for the Independent Segments Procedure</w:t>
      </w:r>
      <w:r>
        <w:t xml:space="preserve"> </w:t>
      </w:r>
      <w:r>
        <w:t xml:space="preserve">(Miller &amp; Ulrich, 2020)</w:t>
      </w:r>
      <w:r>
        <w:t xml:space="preserve">.</w:t>
      </w:r>
    </w:p>
    <w:p>
      <w:pPr>
        <w:pStyle w:val="Textkrper"/>
      </w:pPr>
      <w:r>
        <w:t xml:space="preserve">In the following section, I use Monte-Carlo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(Schonbrodt et al.,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Schonbrodt et al.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equally spaced looks at data (i.e., what I term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In the following section, I briefly outline how each property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fixed-sample hypothesis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the procedure ended in a failure to reject the null hypothesis</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Conventionally, the Null-Hypothesis Significance test is not able to distinguish between failures to reject the null hypothesis due to evidence of absence (a True Negative result) or absence of evidence (an Inconclusive result). Therefore, we labeled all failures to reject the null on the basis of a fixed-sample hypothesis test as Inconclusive. It will be noted, however, that it is possible to overcome this limitation of conventional practice by testing against range predictions rather than a nil-null hypothesis. Instead of testing the nil-null hypothesis that the effect is exactly zero, researchers can test whether effects more extreme than a range of predicted or practically important effect sizes can be rejected – for example, by virtue of an equivalence test or a minimum-effect test</w:t>
      </w:r>
      <w:r>
        <w:t xml:space="preserve"> </w:t>
      </w:r>
      <w:r>
        <w:t xml:space="preserve">(D. Lakens, 2021; D. Lakens, Scheel, &amp; Isager, 2018)</w:t>
      </w:r>
      <w:r>
        <w:t xml:space="preserve">.</w:t>
      </w:r>
    </w:p>
    <w:p>
      <w:pPr>
        <w:pStyle w:val="Textkrper"/>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the mean squared error of effect size estimates (i.e., the sum of the squared bias and the variance of effect size estimates), and the meta-analytic effect size estimate derived from each procedure.</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et al., 1984; Wassmer &amp; Brannath, 2016)</w:t>
      </w:r>
      <w:r>
        <w:t xml:space="preserve">, and the sequential Bayes Factor</w:t>
      </w:r>
      <w:r>
        <w:t xml:space="preserve"> </w:t>
      </w:r>
      <w:r>
        <w:t xml:space="preserve">(Schonbrodt et al.,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and reproducible analysis scripts are available at [link]. For the frequentist procedures (i.e., the fixed-sample N-P procedure,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w:t>
      </w:r>
    </w:p>
    <w:p>
      <w:pPr>
        <w:pStyle w:val="Textkrper"/>
      </w:pPr>
      <w:r>
        <w:t xml:space="preserve">For maximum comparability, all sequential procedures (ISP, Pocock-like GS design, O’Brien-Fleming-like GS design, and the SBF) were set to a maximum number of 3 equally spaced looks. 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t>I</m:t>
            </m:r>
            <m:r>
              <m:t>S</m:t>
            </m:r>
            <m:r>
              <m:t>P</m:t>
            </m:r>
          </m:sub>
        </m:sSub>
      </m:oMath>
      <w:r>
        <w:t xml:space="preserve"> </w:t>
      </w:r>
      <w:r>
        <w:t xml:space="preserve">= 25 per group per segment.</w:t>
      </w:r>
    </w:p>
    <w:p>
      <w:pPr>
        <w:pStyle w:val="Textkrper"/>
      </w:pPr>
      <w:r>
        <w:t xml:space="preserve">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.023, and</w:t>
      </w:r>
      <w:r>
        <w:t xml:space="preserve"> </w:t>
      </w:r>
      <m:oMath>
        <m:sSub>
          <m:e>
            <m:r>
              <m:t>α</m:t>
            </m:r>
          </m:e>
          <m:sub>
            <m:r>
              <m:t>1</m:t>
            </m:r>
            <m:r>
              <m:rPr>
                <m:sty m:val="p"/>
              </m:rPr>
              <m:t>,</m:t>
            </m:r>
            <m:r>
              <m:t>3</m:t>
            </m:r>
          </m:sub>
        </m:sSub>
      </m:oMath>
      <w:r>
        <w:t xml:space="preserve"> </w:t>
      </w:r>
      <w:r>
        <w:t xml:space="preserve">= .024 at the first, second, and third look for the Pocock-like design and</w:t>
      </w:r>
      <w:r>
        <w:t xml:space="preserve"> </w:t>
      </w:r>
      <m:oMath>
        <m:sSub>
          <m:e>
            <m:r>
              <m:t>α</m:t>
            </m:r>
          </m:e>
          <m:sub>
            <m:r>
              <m:t>1</m:t>
            </m:r>
            <m:r>
              <m:rPr>
                <m:sty m:val="p"/>
              </m:rPr>
              <m:t>,</m:t>
            </m:r>
            <m:r>
              <m:t>1</m:t>
            </m:r>
          </m:sub>
        </m:sSub>
      </m:oMath>
      <w:r>
        <w:t xml:space="preserve"> </w:t>
      </w:r>
      <w:r>
        <w:t xml:space="preserve">= .00069,</w:t>
      </w:r>
      <w:r>
        <w:t xml:space="preserve"> </w:t>
      </w:r>
      <m:oMath>
        <m:sSub>
          <m:e>
            <m:r>
              <m:t>α</m:t>
            </m:r>
          </m:e>
          <m:sub>
            <m:r>
              <m:t>1</m:t>
            </m:r>
            <m:r>
              <m:rPr>
                <m:sty m:val="p"/>
              </m:rPr>
              <m:t>,</m:t>
            </m:r>
            <m:r>
              <m:t>2</m:t>
            </m:r>
          </m:sub>
        </m:sSub>
      </m:oMath>
      <w:r>
        <w:t xml:space="preserve"> </w:t>
      </w:r>
      <w:r>
        <w:t xml:space="preserve">= .016, and</w:t>
      </w:r>
      <w:r>
        <w:t xml:space="preserve"> </w:t>
      </w:r>
      <m:oMath>
        <m:sSub>
          <m:e>
            <m:r>
              <m:t>α</m:t>
            </m:r>
          </m:e>
          <m:sub>
            <m:r>
              <m:t>1</m:t>
            </m:r>
            <m:r>
              <m:rPr>
                <m:sty m:val="p"/>
              </m:rPr>
              <m:t>,</m:t>
            </m:r>
            <m:r>
              <m:t>3</m:t>
            </m:r>
          </m:sub>
        </m:sSub>
      </m:oMath>
      <w:r>
        <w:t xml:space="preserve"> </w:t>
      </w:r>
      <w:r>
        <w:t xml:space="preserve">= .045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.12 at the first and second look for the Pocock-like design and</w:t>
      </w:r>
      <w:r>
        <w:t xml:space="preserve"> </w:t>
      </w:r>
      <m:oMath>
        <m:sSub>
          <m:e>
            <m:r>
              <m:t>α</m:t>
            </m:r>
          </m:e>
          <m:sub>
            <m:r>
              <m:t>0</m:t>
            </m:r>
            <m:r>
              <m:rPr>
                <m:sty m:val="p"/>
              </m:rPr>
              <m:t>,</m:t>
            </m:r>
            <m:r>
              <m:t>1</m:t>
            </m:r>
          </m:sub>
        </m:sSub>
      </m:oMath>
      <w:r>
        <w:t xml:space="preserve"> </w:t>
      </w:r>
      <w:r>
        <w:t xml:space="preserve">= .66 and</w:t>
      </w:r>
      <w:r>
        <w:t xml:space="preserve"> </w:t>
      </w:r>
      <m:oMath>
        <m:sSub>
          <m:e>
            <m:r>
              <m:t>α</m:t>
            </m:r>
          </m:e>
          <m:sub>
            <m:r>
              <m:t>0</m:t>
            </m:r>
            <m:r>
              <m:rPr>
                <m:sty m:val="p"/>
              </m:rPr>
              <m:t>,</m:t>
            </m:r>
            <m:r>
              <m:t>2</m:t>
            </m:r>
          </m:sub>
        </m:sSub>
      </m:oMath>
      <w:r>
        <w:t xml:space="preserve"> </w:t>
      </w:r>
      <w:r>
        <w:t xml:space="preserve">= .18 at the first and second look for the O’Brien-Fleming-like design. For the Pocock-like design, the required sample size</w:t>
      </w:r>
      <w:r>
        <w:t xml:space="preserve"> </w:t>
      </w:r>
      <m:oMath>
        <m:sSub>
          <m:e>
            <m:r>
              <m:t>N</m:t>
            </m:r>
          </m:e>
          <m:sub>
            <m:r>
              <m:t>p</m:t>
            </m:r>
            <m:r>
              <m:t>o</m:t>
            </m:r>
            <m:r>
              <m:t>c</m:t>
            </m:r>
            <m:r>
              <m:t>o</m:t>
            </m:r>
            <m:r>
              <m:t>c</m:t>
            </m:r>
            <m:r>
              <m:t>k</m:t>
            </m:r>
          </m:sub>
        </m:sSub>
      </m:oMath>
      <w:r>
        <w:t xml:space="preserve"> </w:t>
      </w:r>
      <w:r>
        <w:t xml:space="preserve">= 24 per group per look; for the O’Brien-Fleming correction, the required sample size</w:t>
      </w:r>
      <w:r>
        <w:t xml:space="preserve"> </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w:t>
      </w:r>
      <w:r>
        <w:t xml:space="preserve">= 19 per group per look.</w:t>
      </w:r>
    </w:p>
    <w:p>
      <w:pPr>
        <w:pStyle w:val="Textkrper"/>
      </w:pPr>
      <w:r>
        <w:t xml:space="preserve">For the SBF, I ran simulations to choose an optimal sample size (with</w:t>
      </w:r>
      <w:r>
        <w:t xml:space="preserve"> </w:t>
      </w:r>
      <m:oMath>
        <m:sSub>
          <m:e>
            <m:r>
              <m:t>k</m:t>
            </m:r>
          </m:e>
          <m:sub>
            <m:r>
              <m:t>m</m:t>
            </m:r>
            <m:r>
              <m:t>a</m:t>
            </m:r>
            <m:r>
              <m:t>x</m:t>
            </m:r>
          </m:sub>
        </m:sSub>
      </m:oMath>
      <w:r>
        <w:t xml:space="preserve"> </w:t>
      </w:r>
      <w:r>
        <w:t xml:space="preserve">= 3 equally spaced looks), Bayes Factor threshold, and prior distribution, such that the overall error rate would approach that of the frequentist procedures (i.e., a false negative rate of 20% and a false positive rate of 5%). On the basis of these simulations, the minimum sample size was set to</w:t>
      </w:r>
      <w:r>
        <w:t xml:space="preserve"> </w:t>
      </w:r>
      <m:oMath>
        <m:sSub>
          <m:e>
            <m:r>
              <m:t>N</m:t>
            </m:r>
          </m:e>
          <m:sub>
            <m:r>
              <m:t>B</m:t>
            </m:r>
            <m:r>
              <m:t>a</m:t>
            </m:r>
            <m:r>
              <m:t>y</m:t>
            </m:r>
            <m:r>
              <m:t>e</m:t>
            </m:r>
            <m:r>
              <m:t>s</m:t>
            </m:r>
          </m:sub>
        </m:sSub>
      </m:oMath>
      <w:r>
        <w:t xml:space="preserve"> </w:t>
      </w:r>
      <w:r>
        <w:t xml:space="preserve">= 22 per group per look with</w:t>
      </w:r>
      <w:r>
        <w:t xml:space="preserve"> </w:t>
      </w:r>
      <m:oMath>
        <m:sSub>
          <m:e>
            <m:r>
              <m:t>k</m:t>
            </m:r>
          </m:e>
          <m:sub>
            <m:r>
              <m:t>m</m:t>
            </m:r>
            <m:r>
              <m:t>a</m:t>
            </m:r>
            <m:r>
              <m:t>x</m:t>
            </m:r>
          </m:sub>
        </m:sSub>
      </m:oMath>
      <w:r>
        <w:t xml:space="preserve"> </w:t>
      </w:r>
      <w:r>
        <w:t xml:space="preserve">= 3 looks, and the Bayes Factor threshold was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w:t>
      </w:r>
    </w:p>
    <w:p>
      <w:pPr>
        <w:pStyle w:val="Textkrper"/>
      </w:pPr>
      <w:r>
        <w:t xml:space="preserve">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equally spaced looks.</w:t>
      </w:r>
    </w:p>
    <w:p>
      <w:pPr>
        <w:pStyle w:val="Textkrper"/>
      </w:pPr>
      <w:r>
        <w:t xml:space="preserve">To calculate the Bayes Factor, I used the one-tailed default Bayes Factor for</w:t>
      </w:r>
      <w:r>
        <w:t xml:space="preserve"> </w:t>
      </w:r>
      <w:r>
        <w:rPr>
          <w:iCs/>
          <w:i/>
        </w:rPr>
        <w:t xml:space="preserve">t</w:t>
      </w:r>
      <w:r>
        <w:t xml:space="preserve"> </w:t>
      </w:r>
      <w:r>
        <w:t xml:space="preserve">tests</w:t>
      </w:r>
      <w:r>
        <w:t xml:space="preserve"> </w:t>
      </w:r>
      <w:r>
        <w:t xml:space="preserve">(Morey &amp; Rouder, 2011)</w:t>
      </w:r>
      <w:r>
        <w:t xml:space="preserve"> </w:t>
      </w:r>
      <w:r>
        <w:t xml:space="preserve">to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 A default prior distribution was chosen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This prior was chosen to reflect the expectation of a</w:t>
      </w:r>
      <w:r>
        <w:t xml:space="preserve"> </w:t>
      </w:r>
      <w:r>
        <w:t xml:space="preserve">“</w:t>
      </w:r>
      <w:r>
        <w:t xml:space="preserve">medium</w:t>
      </w:r>
      <w:r>
        <w:t xml:space="preserve">”</w:t>
      </w:r>
      <w:r>
        <w:t xml:space="preserve"> </w:t>
      </w:r>
      <w:r>
        <w:t xml:space="preserve">effect size</w:t>
      </w:r>
      <w:r>
        <w:t xml:space="preserve"> </w:t>
      </w:r>
      <w:r>
        <w:t xml:space="preserve">(Morey &amp; Rouder, 2011; Schnuerch &amp; Erdfelder, 2020; Schonbrodt et al., 2017)</w:t>
      </w:r>
      <w:r>
        <w:t xml:space="preserve">.</w:t>
      </w:r>
    </w:p>
    <w:p>
      <w:pPr>
        <w:pStyle w:val="Textkrper"/>
      </w:pPr>
      <w:r>
        <w:t xml:space="preserve">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28"/>
        </w:numPr>
        <w:pStyle w:val="Compact"/>
      </w:pPr>
      <w:r>
        <w:t xml:space="preserve">Repeat 10,000 times</w:t>
      </w:r>
    </w:p>
    <w:p>
      <w:pPr>
        <w:numPr>
          <w:ilvl w:val="0"/>
          <w:numId w:val="1028"/>
        </w:numPr>
        <w:pStyle w:val="Compact"/>
      </w:pPr>
      <w:r>
        <w:t xml:space="preserve">Compute the meta-analytic effect size estimate</w:t>
      </w:r>
    </w:p>
    <w:bookmarkEnd w:id="30"/>
    <w:bookmarkStart w:id="31" w:name="X462c13839b61195698cdd7292b2507af8cc7d10"/>
    <w:p>
      <w:pPr>
        <w:pStyle w:val="berschrift2"/>
      </w:pPr>
      <w:r>
        <w:rPr>
          <w:iCs/>
          <w:i/>
        </w:rPr>
        <w:t xml:space="preserve">Pocock-like (O’Brien-Fleming-like) Group-sequential procedures</w:t>
      </w:r>
    </w:p>
    <w:p>
      <w:pPr>
        <w:numPr>
          <w:ilvl w:val="0"/>
          <w:numId w:val="1029"/>
        </w:numPr>
        <w:pStyle w:val="Compact"/>
      </w:pPr>
      <w:r>
        <w:t xml:space="preserve">Randomly sample</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observations from each of the two specified populations</w:t>
      </w:r>
    </w:p>
    <w:p>
      <w:pPr>
        <w:numPr>
          <w:ilvl w:val="0"/>
          <w:numId w:val="102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0"/>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0"/>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30"/>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additional observations and repeat step 2 on the cumulative data</w:t>
      </w:r>
    </w:p>
    <w:p>
      <w:pPr>
        <w:numPr>
          <w:ilvl w:val="0"/>
          <w:numId w:val="1031"/>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2"/>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3"/>
        </w:numPr>
        <w:pStyle w:val="Compact"/>
      </w:pPr>
      <w:r>
        <w:t xml:space="preserve">To estimate the standardized effect size, calculate Cohen’s</w:t>
      </w:r>
      <w:r>
        <w:t xml:space="preserve"> </w:t>
      </w:r>
      <w:r>
        <w:rPr>
          <w:iCs/>
          <w:i/>
        </w:rPr>
        <w:t xml:space="preserve">d</w:t>
      </w:r>
    </w:p>
    <w:p>
      <w:pPr>
        <w:numPr>
          <w:ilvl w:val="0"/>
          <w:numId w:val="1033"/>
        </w:numPr>
        <w:pStyle w:val="Compact"/>
      </w:pPr>
      <w:r>
        <w:t xml:space="preserve">Repeat 10,000 times</w:t>
      </w:r>
    </w:p>
    <w:p>
      <w:pPr>
        <w:numPr>
          <w:ilvl w:val="0"/>
          <w:numId w:val="1033"/>
        </w:numPr>
        <w:pStyle w:val="Compact"/>
      </w:pPr>
      <w:r>
        <w:t xml:space="preserve">Compute the meta-analytic effect size estimate</w:t>
      </w:r>
    </w:p>
    <w:bookmarkEnd w:id="31"/>
    <w:bookmarkStart w:id="32" w:name="sequential-bayes-factor-1"/>
    <w:p>
      <w:pPr>
        <w:pStyle w:val="berschrift2"/>
      </w:pPr>
      <w:r>
        <w:rPr>
          <w:iCs/>
          <w:i/>
        </w:rPr>
        <w:t xml:space="preserve">Sequential-Bayes Factor</w:t>
      </w:r>
    </w:p>
    <w:p>
      <w:pPr>
        <w:numPr>
          <w:ilvl w:val="0"/>
          <w:numId w:val="1034"/>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each of the two specified populations</w:t>
      </w:r>
    </w:p>
    <w:p>
      <w:pPr>
        <w:numPr>
          <w:ilvl w:val="0"/>
          <w:numId w:val="1034"/>
        </w:numPr>
        <w:pStyle w:val="Compact"/>
      </w:pPr>
      <w:r>
        <w:t xml:space="preserve">Run a one-sided, two-tailed default Bayes Factor</w:t>
      </w:r>
      <w:r>
        <w:t xml:space="preserve"> </w:t>
      </w:r>
      <w:r>
        <w:rPr>
          <w:iCs/>
          <w:i/>
        </w:rPr>
        <w:t xml:space="preserve">t</w:t>
      </w:r>
      <w:r>
        <w:t xml:space="preserve"> </w:t>
      </w:r>
      <w:r>
        <w:t xml:space="preserve">test on the mean difference between the two samples</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35"/>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t>B</m:t>
            </m:r>
            <m:r>
              <m:t>a</m:t>
            </m:r>
            <m:r>
              <m:t>y</m:t>
            </m:r>
            <m:r>
              <m:t>e</m:t>
            </m:r>
            <m:r>
              <m:t>s</m:t>
            </m:r>
          </m:sub>
        </m:sSub>
      </m:oMath>
      <w:r>
        <w:t xml:space="preserve"> </w:t>
      </w:r>
      <w:r>
        <w:t xml:space="preserve">additional observations and repeat step 2 on the cumulative data</w:t>
      </w:r>
    </w:p>
    <w:p>
      <w:pPr>
        <w:numPr>
          <w:ilvl w:val="0"/>
          <w:numId w:val="1036"/>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t>B</m:t>
            </m:r>
            <m:r>
              <m:t>a</m:t>
            </m:r>
            <m:r>
              <m:t>y</m:t>
            </m:r>
            <m:r>
              <m:t>e</m:t>
            </m:r>
            <m:r>
              <m:t>s</m:t>
            </m:r>
          </m:sub>
        </m:sSub>
        <m:r>
          <m:rPr>
            <m:sty m:val="p"/>
          </m:rPr>
          <m:t>*</m:t>
        </m:r>
        <m:sSub>
          <m:e>
            <m:r>
              <m:t>k</m:t>
            </m:r>
          </m:e>
          <m:sub>
            <m:r>
              <m:t>m</m:t>
            </m:r>
            <m:r>
              <m:t>a</m:t>
            </m:r>
            <m:r>
              <m:t>x</m:t>
            </m:r>
          </m:sub>
        </m:sSub>
      </m:oMath>
      <w:r>
        <w:t xml:space="preserve">) has been reached</w:t>
      </w:r>
    </w:p>
    <w:p>
      <w:pPr>
        <w:numPr>
          <w:ilvl w:val="0"/>
          <w:numId w:val="1036"/>
        </w:numPr>
        <w:pStyle w:val="Compact"/>
      </w:pPr>
      <w:r>
        <w:t xml:space="preserve">To estimate the standardized effect size, calculate the mean of the posterior distribution using a two-sided model</w:t>
      </w:r>
      <w:r>
        <w:t xml:space="preserve"> </w:t>
      </w:r>
      <w:r>
        <w:t xml:space="preserve">(Van Doorn et al., 2020)</w:t>
      </w:r>
    </w:p>
    <w:p>
      <w:pPr>
        <w:numPr>
          <w:ilvl w:val="0"/>
          <w:numId w:val="1036"/>
        </w:numPr>
        <w:pStyle w:val="Compact"/>
      </w:pPr>
      <w:r>
        <w:t xml:space="preserve">Repeat 10,000 times</w:t>
      </w:r>
    </w:p>
    <w:p>
      <w:pPr>
        <w:numPr>
          <w:ilvl w:val="0"/>
          <w:numId w:val="1036"/>
        </w:numPr>
        <w:pStyle w:val="Compact"/>
      </w:pPr>
      <w:r>
        <w:t xml:space="preserve">Compute the meta-analytic effect size estimate</w:t>
      </w:r>
    </w:p>
    <w:bookmarkEnd w:id="32"/>
    <w:bookmarkStart w:id="33" w:name="independent-segments-procedure-1"/>
    <w:p>
      <w:pPr>
        <w:pStyle w:val="berschrift2"/>
      </w:pPr>
      <w:r>
        <w:rPr>
          <w:iCs/>
          <w:i/>
        </w:rPr>
        <w:t xml:space="preserve">Independent segments procedure</w:t>
      </w:r>
    </w:p>
    <w:p>
      <w:pPr>
        <w:numPr>
          <w:ilvl w:val="0"/>
          <w:numId w:val="1037"/>
        </w:numPr>
        <w:pStyle w:val="Compact"/>
      </w:pPr>
      <w:r>
        <w:t xml:space="preserve">Randomly sample</w:t>
      </w:r>
      <w:r>
        <w:t xml:space="preserve"> </w:t>
      </w:r>
      <m:oMath>
        <m:sSub>
          <m:e>
            <m:r>
              <m:t>N</m:t>
            </m:r>
          </m:e>
          <m:sub>
            <m:r>
              <m:t>I</m:t>
            </m:r>
            <m:r>
              <m:t>S</m:t>
            </m:r>
            <m:r>
              <m:t>P</m:t>
            </m:r>
          </m:sub>
        </m:sSub>
      </m:oMath>
      <w:r>
        <w:t xml:space="preserve"> </w:t>
      </w:r>
      <w:r>
        <w:t xml:space="preserve">observations from each of the two specified populations</w:t>
      </w:r>
    </w:p>
    <w:p>
      <w:pPr>
        <w:numPr>
          <w:ilvl w:val="0"/>
          <w:numId w:val="1037"/>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8"/>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t>I</m:t>
            </m:r>
            <m:r>
              <m:t>S</m:t>
            </m:r>
            <m:r>
              <m:t>P</m:t>
            </m:r>
          </m:sub>
        </m:sSub>
      </m:oMath>
      <w:r>
        <w:t xml:space="preserve"> </w:t>
      </w:r>
      <w:r>
        <w:t xml:space="preserve">new observations, and repeat step 2 on this independent batch of data</w:t>
      </w:r>
    </w:p>
    <w:p>
      <w:pPr>
        <w:numPr>
          <w:ilvl w:val="0"/>
          <w:numId w:val="1039"/>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0"/>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1"/>
        </w:numPr>
        <w:pStyle w:val="Compact"/>
      </w:pPr>
      <w:r>
        <w:t xml:space="preserve">To estimate the standardized effect size, calculate Cohen’s</w:t>
      </w:r>
      <w:r>
        <w:t xml:space="preserve"> </w:t>
      </w:r>
      <w:r>
        <w:rPr>
          <w:iCs/>
          <w:i/>
        </w:rPr>
        <w:t xml:space="preserve">d</w:t>
      </w:r>
    </w:p>
    <w:p>
      <w:pPr>
        <w:numPr>
          <w:ilvl w:val="0"/>
          <w:numId w:val="1041"/>
        </w:numPr>
        <w:pStyle w:val="Compact"/>
      </w:pPr>
      <w:r>
        <w:t xml:space="preserve">Repeat 10,000 times</w:t>
      </w:r>
    </w:p>
    <w:p>
      <w:pPr>
        <w:numPr>
          <w:ilvl w:val="0"/>
          <w:numId w:val="1041"/>
        </w:numPr>
        <w:pStyle w:val="Compact"/>
      </w:pPr>
      <w:r>
        <w:t xml:space="preserve">Compute the meta-analytic effect size estimate</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(Schonbrodt &amp; Wagenmakers, 2018; Schonbrodt et al., 2017; Stefan et al.,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(Schonbrodt et al., 2017; Stefan et al.,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.00069 and</w:t>
      </w:r>
      <w:r>
        <w:t xml:space="preserve"> </w:t>
      </w:r>
      <m:oMath>
        <m:sSub>
          <m:e>
            <m:r>
              <m:t>α</m:t>
            </m:r>
          </m:e>
          <m:sub>
            <m:r>
              <m:t>1</m:t>
            </m:r>
            <m:r>
              <m:rPr>
                <m:sty m:val="p"/>
              </m:rPr>
              <m:t>,</m:t>
            </m:r>
            <m:r>
              <m:t>2</m:t>
            </m:r>
          </m:sub>
        </m:sSub>
      </m:oMath>
      <w:r>
        <w:t xml:space="preserve"> </w:t>
      </w:r>
      <w:r>
        <w:t xml:space="preserve">= .016).</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et al., 2004; Goodman, 2007; Schonbrodt et al.,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(Schonbrodt et al.,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(Stefan et al.,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(Goodman, 2007; Schonbrodt et al.,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(Stefan et al.,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4.1.2; R Core Team, 2021)</w:t>
      </w:r>
      <w:r>
        <w:t xml:space="preserve"> </w:t>
      </w:r>
      <w:r>
        <w:t xml:space="preserve">and the R-packages</w:t>
      </w:r>
      <w:r>
        <w:t xml:space="preserve"> </w:t>
      </w:r>
      <w:r>
        <w:rPr>
          <w:iCs/>
          <w:i/>
        </w:rPr>
        <w:t xml:space="preserve">BayesFactor</w:t>
      </w:r>
      <w:r>
        <w:t xml:space="preserve"> </w:t>
      </w:r>
      <w:r>
        <w:t xml:space="preserve">(Version 0.9.12.4.2;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Schönbrodt &amp; Wagenmakers, 2018)</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1.3.4;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2.0.2;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0.3.4; Daniel Lakens, 2017)</w:t>
      </w:r>
      <w:r>
        <w:t xml:space="preserve">.</w:t>
      </w:r>
    </w:p>
    <w:p>
      <w:r>
        <w:br w:type="page"/>
      </w:r>
    </w:p>
    <w:bookmarkEnd w:id="40"/>
    <w:bookmarkEnd w:id="41"/>
    <w:bookmarkStart w:id="215" w:name="references"/>
    <w:p>
      <w:pPr>
        <w:pStyle w:val="berschrift1"/>
      </w:pPr>
      <w:r>
        <w:t xml:space="preserve">References</w:t>
      </w:r>
    </w:p>
    <w:bookmarkStart w:id="168"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49">
        <w:r>
          <w:rPr>
            <w:rStyle w:val="Hyperlink"/>
          </w:rPr>
          <w:t xml:space="preserve">https://CRAN.R-project.org/package=beepr</w:t>
        </w:r>
      </w:hyperlink>
    </w:p>
    <w:bookmarkEnd w:id="50"/>
    <w:bookmarkStart w:id="52"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51">
        <w:r>
          <w:rPr>
            <w:rStyle w:val="Hyperlink"/>
          </w:rPr>
          <w:t xml:space="preserve">https://doi.org/10.1177/1745691612459060</w:t>
        </w:r>
      </w:hyperlink>
    </w:p>
    <w:bookmarkEnd w:id="52"/>
    <w:bookmarkStart w:id="54"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3">
        <w:r>
          <w:rPr>
            <w:rStyle w:val="Hyperlink"/>
          </w:rPr>
          <w:t xml:space="preserve">https://github.com/mariusbarth/tinylabels</w:t>
        </w:r>
      </w:hyperlink>
    </w:p>
    <w:bookmarkEnd w:id="54"/>
    <w:bookmarkStart w:id="56"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5">
        <w:r>
          <w:rPr>
            <w:rStyle w:val="Hyperlink"/>
          </w:rPr>
          <w:t xml:space="preserve">https://CRAN.R-project.org/package=Matrix</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5">
        <w:r>
          <w:rPr>
            <w:rStyle w:val="Hyperlink"/>
          </w:rPr>
          <w:t xml:space="preserve">https://doi.org/10.1098/rsta.1922.0009</w:t>
        </w:r>
      </w:hyperlink>
    </w:p>
    <w:bookmarkEnd w:id="76"/>
    <w:bookmarkStart w:id="78"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7">
        <w:r>
          <w:rPr>
            <w:rStyle w:val="Hyperlink"/>
          </w:rPr>
          <w:t xml:space="preserve">https://doi.org/10.1016/S0197-2456(84)80014-8</w:t>
        </w:r>
      </w:hyperlink>
    </w:p>
    <w:bookmarkEnd w:id="78"/>
    <w:bookmarkStart w:id="80" w:name="ref-goodman1999"/>
    <w:p>
      <w:pPr>
        <w:pStyle w:val="Literaturverzeichnis"/>
      </w:pPr>
      <w:r>
        <w:t xml:space="preserve">Goodman, S.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79">
        <w:r>
          <w:rPr>
            <w:rStyle w:val="Hyperlink"/>
          </w:rPr>
          <w:t xml:space="preserve">https://doi.org/10.7326/0003-4819-130-12-199906150-00008</w:t>
        </w:r>
      </w:hyperlink>
    </w:p>
    <w:bookmarkEnd w:id="80"/>
    <w:bookmarkStart w:id="82" w:name="ref-goodman2007"/>
    <w:p>
      <w:pPr>
        <w:pStyle w:val="Literaturverzeichnis"/>
      </w:pPr>
      <w:r>
        <w:t xml:space="preserve">Goodman, S.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1">
        <w:r>
          <w:rPr>
            <w:rStyle w:val="Hyperlink"/>
          </w:rPr>
          <w:t xml:space="preserve">https://doi.org/10.7326/0003-4819-146-12-200706190-00010</w:t>
        </w:r>
      </w:hyperlink>
    </w:p>
    <w:bookmarkEnd w:id="82"/>
    <w:bookmarkStart w:id="84" w:name="ref-goodman1988"/>
    <w:p>
      <w:pPr>
        <w:pStyle w:val="Literaturverzeichnis"/>
      </w:pPr>
      <w:r>
        <w:t xml:space="preserve">Goodman, S.,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3">
        <w:r>
          <w:rPr>
            <w:rStyle w:val="Hyperlink"/>
          </w:rPr>
          <w:t xml:space="preserve">https://doi.org/10.2105/AJPH.78.12.1568</w:t>
        </w:r>
      </w:hyperlink>
    </w:p>
    <w:bookmarkEnd w:id="84"/>
    <w:bookmarkStart w:id="86"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5">
        <w:r>
          <w:rPr>
            <w:rStyle w:val="Hyperlink"/>
          </w:rPr>
          <w:t xml:space="preserve">https://CRAN.R-project.org/package=purrr</w:t>
        </w:r>
      </w:hyperlink>
    </w:p>
    <w:bookmarkEnd w:id="86"/>
    <w:bookmarkStart w:id="88"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7">
        <w:r>
          <w:rPr>
            <w:rStyle w:val="Hyperlink"/>
          </w:rPr>
          <w:t xml:space="preserve">https://doi.org/10.3758/s13423-016-1221-4</w:t>
        </w:r>
      </w:hyperlink>
    </w:p>
    <w:bookmarkEnd w:id="88"/>
    <w:bookmarkStart w:id="90" w:name="ref-lakens2014"/>
    <w:p>
      <w:pPr>
        <w:pStyle w:val="Literaturverzeichnis"/>
      </w:pPr>
      <w:r>
        <w:t xml:space="preserve">Lakens, D.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89">
        <w:r>
          <w:rPr>
            <w:rStyle w:val="Hyperlink"/>
          </w:rPr>
          <w:t xml:space="preserve">https://doi.org/10.1002/ejsp.2023</w:t>
        </w:r>
      </w:hyperlink>
    </w:p>
    <w:bookmarkEnd w:id="90"/>
    <w:bookmarkStart w:id="92"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1">
        <w:r>
          <w:rPr>
            <w:rStyle w:val="Hyperlink"/>
          </w:rPr>
          <w:t xml:space="preserve">https://doi.org/10.1177/1948550617697177</w:t>
        </w:r>
      </w:hyperlink>
    </w:p>
    <w:bookmarkEnd w:id="92"/>
    <w:bookmarkStart w:id="94" w:name="ref-lakens2021"/>
    <w:p>
      <w:pPr>
        <w:pStyle w:val="Literaturverzeichnis"/>
      </w:pPr>
      <w:r>
        <w:t xml:space="preserve">Lakens, D. (2021). The</w:t>
      </w:r>
      <w:r>
        <w:t xml:space="preserve"> </w:t>
      </w:r>
      <w:r>
        <w:t xml:space="preserve">Practical Alternative</w:t>
      </w:r>
      <w:r>
        <w:t xml:space="preserve"> </w:t>
      </w:r>
      <w:r>
        <w:t xml:space="preserve">to the p</w:t>
      </w:r>
      <w:r>
        <w:t xml:space="preserve"> </w:t>
      </w:r>
      <w:r>
        <w:t xml:space="preserve">Value Is</w:t>
      </w:r>
      <w:r>
        <w:t xml:space="preserve"> </w:t>
      </w:r>
      <w:r>
        <w:t xml:space="preserve">the</w:t>
      </w:r>
      <w:r>
        <w:t xml:space="preserve"> </w:t>
      </w:r>
      <w:r>
        <w:t xml:space="preserve">Correctly Used</w:t>
      </w:r>
      <w:r>
        <w:t xml:space="preserve"> </w:t>
      </w:r>
      <w:r>
        <w:t xml:space="preserve">p</w:t>
      </w:r>
      <w:r>
        <w:t xml:space="preserve"> </w:t>
      </w:r>
      <w:r>
        <w:t xml:space="preserve">Value</w:t>
      </w:r>
      <w:r>
        <w:t xml:space="preserve">.</w:t>
      </w:r>
      <w:r>
        <w:t xml:space="preserve"> </w:t>
      </w:r>
      <w:r>
        <w:rPr>
          <w:iCs/>
          <w:i/>
        </w:rPr>
        <w:t xml:space="preserve">Perspectives on Psychological Science: A Journal of the Association for Psychological Science</w:t>
      </w:r>
      <w:r>
        <w:t xml:space="preserve">,</w:t>
      </w:r>
      <w:r>
        <w:t xml:space="preserve"> </w:t>
      </w:r>
      <w:r>
        <w:rPr>
          <w:iCs/>
          <w:i/>
        </w:rPr>
        <w:t xml:space="preserve">16</w:t>
      </w:r>
      <w:r>
        <w:t xml:space="preserve">(3), 639–648.</w:t>
      </w:r>
      <w:r>
        <w:t xml:space="preserve"> </w:t>
      </w:r>
      <w:hyperlink r:id="rId93">
        <w:r>
          <w:rPr>
            <w:rStyle w:val="Hyperlink"/>
          </w:rPr>
          <w:t xml:space="preserve">https://doi.org/10.1177/1745691620958012</w:t>
        </w:r>
      </w:hyperlink>
    </w:p>
    <w:bookmarkEnd w:id="94"/>
    <w:bookmarkStart w:id="96" w:name="ref-lakens2018"/>
    <w:p>
      <w:pPr>
        <w:pStyle w:val="Literaturverzeichnis"/>
      </w:pPr>
      <w:r>
        <w:t xml:space="preserve">Lakens, D.,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5">
        <w:r>
          <w:rPr>
            <w:rStyle w:val="Hyperlink"/>
          </w:rPr>
          <w:t xml:space="preserve">https://doi.org/10.1177/2515245918770963</w:t>
        </w:r>
      </w:hyperlink>
    </w:p>
    <w:bookmarkEnd w:id="96"/>
    <w:bookmarkStart w:id="98"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97">
        <w:r>
          <w:rPr>
            <w:rStyle w:val="Hyperlink"/>
          </w:rPr>
          <w:t xml:space="preserve">https://doi.org/10.1093/biomet/70.3.659</w:t>
        </w:r>
      </w:hyperlink>
    </w:p>
    <w:bookmarkEnd w:id="98"/>
    <w:bookmarkStart w:id="99"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99"/>
    <w:bookmarkStart w:id="100" w:name="ref-mayo2016"/>
    <w:p>
      <w:pPr>
        <w:pStyle w:val="Literaturverzeichnis"/>
      </w:pPr>
      <w:r>
        <w:t xml:space="preserve">Mayo, D.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0"/>
    <w:bookmarkStart w:id="102" w:name="ref-mayo2018"/>
    <w:p>
      <w:pPr>
        <w:pStyle w:val="Literaturverzeichnis"/>
      </w:pPr>
      <w:r>
        <w:t xml:space="preserve">Mayo, D.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1">
        <w:r>
          <w:rPr>
            <w:rStyle w:val="Hyperlink"/>
          </w:rPr>
          <w:t xml:space="preserve">https://doi.org/10.1017/9781107286184</w:t>
        </w:r>
      </w:hyperlink>
    </w:p>
    <w:bookmarkEnd w:id="102"/>
    <w:bookmarkStart w:id="104"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3">
        <w:r>
          <w:rPr>
            <w:rStyle w:val="Hyperlink"/>
          </w:rPr>
          <w:t xml:space="preserve">https://doi.org/10.1177/000276428102500205</w:t>
        </w:r>
      </w:hyperlink>
    </w:p>
    <w:bookmarkEnd w:id="104"/>
    <w:bookmarkStart w:id="106"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5">
        <w:r>
          <w:rPr>
            <w:rStyle w:val="Hyperlink"/>
          </w:rPr>
          <w:t xml:space="preserve">https://CRAN.R-project.org/package=foreach</w:t>
        </w:r>
      </w:hyperlink>
    </w:p>
    <w:bookmarkEnd w:id="106"/>
    <w:bookmarkStart w:id="108"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07">
        <w:r>
          <w:rPr>
            <w:rStyle w:val="Hyperlink"/>
          </w:rPr>
          <w:t xml:space="preserve">https://doi.org/10.1037/met0000350</w:t>
        </w:r>
      </w:hyperlink>
    </w:p>
    <w:bookmarkEnd w:id="108"/>
    <w:bookmarkStart w:id="110" w:name="ref-morey2016"/>
    <w:p>
      <w:pPr>
        <w:pStyle w:val="Literaturverzeichnis"/>
      </w:pPr>
      <w:r>
        <w:t xml:space="preserve">Morey, R.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09">
        <w:r>
          <w:rPr>
            <w:rStyle w:val="Hyperlink"/>
          </w:rPr>
          <w:t xml:space="preserve">https://doi.org/10.5281/zenodo.838685</w:t>
        </w:r>
      </w:hyperlink>
    </w:p>
    <w:bookmarkEnd w:id="110"/>
    <w:bookmarkStart w:id="112" w:name="ref-morey2011"/>
    <w:p>
      <w:pPr>
        <w:pStyle w:val="Literaturverzeichnis"/>
      </w:pPr>
      <w:r>
        <w:t xml:space="preserve">Morey, R.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1">
        <w:r>
          <w:rPr>
            <w:rStyle w:val="Hyperlink"/>
          </w:rPr>
          <w:t xml:space="preserve">https://doi.org/10.1037/a0024377</w:t>
        </w:r>
      </w:hyperlink>
    </w:p>
    <w:bookmarkEnd w:id="112"/>
    <w:bookmarkStart w:id="114" w:name="ref-R-BayesFactor"/>
    <w:p>
      <w:pPr>
        <w:pStyle w:val="Literaturverzeichnis"/>
      </w:pPr>
      <w:r>
        <w:t xml:space="preserve">Morey, R. D., &amp; Rouder, J. N. (2018).</w:t>
      </w:r>
      <w:r>
        <w:t xml:space="preserve"> </w:t>
      </w:r>
      <w:r>
        <w:rPr>
          <w:iCs/>
          <w:i/>
        </w:rPr>
        <w:t xml:space="preserve">BayesFactor: Computation of bayes factors for common designs</w:t>
      </w:r>
      <w:r>
        <w:t xml:space="preserve">. Retrieved from</w:t>
      </w:r>
      <w:r>
        <w:t xml:space="preserve"> </w:t>
      </w:r>
      <w:hyperlink r:id="rId113">
        <w:r>
          <w:rPr>
            <w:rStyle w:val="Hyperlink"/>
          </w:rPr>
          <w:t xml:space="preserve">https://CRAN.R-project.org/package=BayesFactor</w:t>
        </w:r>
      </w:hyperlink>
    </w:p>
    <w:bookmarkEnd w:id="114"/>
    <w:bookmarkStart w:id="116"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5">
        <w:r>
          <w:rPr>
            <w:rStyle w:val="Hyperlink"/>
          </w:rPr>
          <w:t xml:space="preserve">https://CRAN.R-project.org/package=tibble</w:t>
        </w:r>
      </w:hyperlink>
    </w:p>
    <w:bookmarkEnd w:id="116"/>
    <w:bookmarkStart w:id="118"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17">
        <w:r>
          <w:rPr>
            <w:rStyle w:val="Hyperlink"/>
          </w:rPr>
          <w:t xml:space="preserve">https://doi.org/10.1146/annurev-psych-122216-011836</w:t>
        </w:r>
      </w:hyperlink>
    </w:p>
    <w:bookmarkEnd w:id="118"/>
    <w:bookmarkStart w:id="119"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19"/>
    <w:bookmarkStart w:id="121"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0">
        <w:r>
          <w:rPr>
            <w:rStyle w:val="Hyperlink"/>
          </w:rPr>
          <w:t xml:space="preserve">https://journal.r-project.org/archive/</w:t>
        </w:r>
      </w:hyperlink>
    </w:p>
    <w:bookmarkEnd w:id="121"/>
    <w:bookmarkStart w:id="123"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2">
        <w:r>
          <w:rPr>
            <w:rStyle w:val="Hyperlink"/>
          </w:rPr>
          <w:t xml:space="preserve">https://doi.org/10.2307/2335684</w:t>
        </w:r>
      </w:hyperlink>
    </w:p>
    <w:bookmarkEnd w:id="123"/>
    <w:bookmarkStart w:id="125"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4">
        <w:r>
          <w:rPr>
            <w:rStyle w:val="Hyperlink"/>
          </w:rPr>
          <w:t xml:space="preserve">https://doi.org/10.1016/0197-2456(89)90059-7</w:t>
        </w:r>
      </w:hyperlink>
    </w:p>
    <w:bookmarkEnd w:id="125"/>
    <w:bookmarkStart w:id="126"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6"/>
    <w:bookmarkStart w:id="128"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7">
        <w:r>
          <w:rPr>
            <w:rStyle w:val="Hyperlink"/>
          </w:rPr>
          <w:t xml:space="preserve">https://www.R-project.org/</w:t>
        </w:r>
      </w:hyperlink>
    </w:p>
    <w:bookmarkEnd w:id="128"/>
    <w:bookmarkStart w:id="130"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29">
        <w:r>
          <w:rPr>
            <w:rStyle w:val="Hyperlink"/>
          </w:rPr>
          <w:t xml:space="preserve">https://doi.org/10.1111/tops.12214</w:t>
        </w:r>
      </w:hyperlink>
    </w:p>
    <w:bookmarkEnd w:id="130"/>
    <w:bookmarkStart w:id="132"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1">
        <w:r>
          <w:rPr>
            <w:rStyle w:val="Hyperlink"/>
          </w:rPr>
          <w:t xml:space="preserve">https://doi.org/10.1037/met0000234</w:t>
        </w:r>
      </w:hyperlink>
    </w:p>
    <w:bookmarkEnd w:id="132"/>
    <w:bookmarkStart w:id="133" w:name="ref-schonbrodt2018"/>
    <w:p>
      <w:pPr>
        <w:pStyle w:val="Literaturverzeichnis"/>
      </w:pPr>
      <w:r>
        <w:t xml:space="preserve">Schonbrodt, F. D., &amp; Wagenmakers, E.-J. (2018). Bayes factor design analysis: Planning for compelling evidence.</w:t>
      </w:r>
      <w:r>
        <w:t xml:space="preserve"> </w:t>
      </w:r>
      <w:r>
        <w:rPr>
          <w:iCs/>
          <w:i/>
        </w:rPr>
        <w:t xml:space="preserve">Psychon Bull Rev</w:t>
      </w:r>
      <w:r>
        <w:t xml:space="preserve">, 15.</w:t>
      </w:r>
    </w:p>
    <w:bookmarkEnd w:id="133"/>
    <w:bookmarkStart w:id="135" w:name="ref-schonbrodt2017"/>
    <w:p>
      <w:pPr>
        <w:pStyle w:val="Literaturverzeichnis"/>
      </w:pPr>
      <w:r>
        <w:t xml:space="preserve">Schonbrodt, F.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4">
        <w:r>
          <w:rPr>
            <w:rStyle w:val="Hyperlink"/>
          </w:rPr>
          <w:t xml:space="preserve">https://doi.org/10.1037/met0000061</w:t>
        </w:r>
      </w:hyperlink>
    </w:p>
    <w:bookmarkEnd w:id="135"/>
    <w:bookmarkStart w:id="137" w:name="ref-R-BFDA"/>
    <w:p>
      <w:pPr>
        <w:pStyle w:val="Literaturverzeichnis"/>
      </w:pPr>
      <w:r>
        <w:t xml:space="preserve">Schönbrodt, F. D., &amp; Wagenmakers, E.-J. (2018).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6">
        <w:r>
          <w:rPr>
            <w:rStyle w:val="Hyperlink"/>
          </w:rPr>
          <w:t xml:space="preserve">https://doi.org/10.3758/s13423-017-1230-y</w:t>
        </w:r>
      </w:hyperlink>
    </w:p>
    <w:bookmarkEnd w:id="137"/>
    <w:bookmarkStart w:id="139"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38">
        <w:r>
          <w:rPr>
            <w:rStyle w:val="Hyperlink"/>
          </w:rPr>
          <w:t xml:space="preserve">https://doi.org/10.1177/0956797611417632</w:t>
        </w:r>
      </w:hyperlink>
    </w:p>
    <w:bookmarkEnd w:id="139"/>
    <w:bookmarkStart w:id="141" w:name="ref-stefan2020"/>
    <w:p>
      <w:pPr>
        <w:pStyle w:val="Literaturverzeichnis"/>
      </w:pPr>
      <w:r>
        <w:t xml:space="preserve">Stefan, A., Schönbrodt,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0">
        <w:r>
          <w:rPr>
            <w:rStyle w:val="Hyperlink"/>
          </w:rPr>
          <w:t xml:space="preserve">https://doi.org/10.31234/osf.io/ry4fw</w:t>
        </w:r>
      </w:hyperlink>
    </w:p>
    <w:bookmarkEnd w:id="141"/>
    <w:bookmarkStart w:id="143"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2">
        <w:r>
          <w:rPr>
            <w:rStyle w:val="Hyperlink"/>
          </w:rPr>
          <w:t xml:space="preserve">https://doi.org/10.3758/s13423-020-01798-5</w:t>
        </w:r>
      </w:hyperlink>
    </w:p>
    <w:bookmarkEnd w:id="143"/>
    <w:bookmarkStart w:id="145"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4">
        <w:r>
          <w:rPr>
            <w:rStyle w:val="Hyperlink"/>
          </w:rPr>
          <w:t xml:space="preserve">https://doi.org/10.18637/jss.v036.i03</w:t>
        </w:r>
      </w:hyperlink>
    </w:p>
    <w:bookmarkEnd w:id="145"/>
    <w:bookmarkStart w:id="146"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46"/>
    <w:bookmarkStart w:id="148"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47">
        <w:r>
          <w:rPr>
            <w:rStyle w:val="Hyperlink"/>
          </w:rPr>
          <w:t xml:space="preserve">https://doi.org/10.3758/s13423-017-1343-3</w:t>
        </w:r>
      </w:hyperlink>
    </w:p>
    <w:bookmarkEnd w:id="148"/>
    <w:bookmarkStart w:id="149"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49"/>
    <w:bookmarkStart w:id="151"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0">
        <w:r>
          <w:rPr>
            <w:rStyle w:val="Hyperlink"/>
          </w:rPr>
          <w:t xml:space="preserve">https://doi.org/10.1007/978-3-319-32562-0</w:t>
        </w:r>
      </w:hyperlink>
    </w:p>
    <w:bookmarkEnd w:id="151"/>
    <w:bookmarkStart w:id="153"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2">
        <w:r>
          <w:rPr>
            <w:rStyle w:val="Hyperlink"/>
          </w:rPr>
          <w:t xml:space="preserve">https://CRAN.R-project.org/package=rpact</w:t>
        </w:r>
      </w:hyperlink>
    </w:p>
    <w:bookmarkEnd w:id="153"/>
    <w:bookmarkStart w:id="155"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4">
        <w:r>
          <w:rPr>
            <w:rStyle w:val="Hyperlink"/>
          </w:rPr>
          <w:t xml:space="preserve">https://ggplot2.tidyverse.org</w:t>
        </w:r>
      </w:hyperlink>
    </w:p>
    <w:bookmarkEnd w:id="155"/>
    <w:bookmarkStart w:id="157"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56">
        <w:r>
          <w:rPr>
            <w:rStyle w:val="Hyperlink"/>
          </w:rPr>
          <w:t xml:space="preserve">https://CRAN.R-project.org/package=stringr</w:t>
        </w:r>
      </w:hyperlink>
    </w:p>
    <w:bookmarkEnd w:id="157"/>
    <w:bookmarkStart w:id="159"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58">
        <w:r>
          <w:rPr>
            <w:rStyle w:val="Hyperlink"/>
          </w:rPr>
          <w:t xml:space="preserve">https://CRAN.R-project.org/package=forcats</w:t>
        </w:r>
      </w:hyperlink>
    </w:p>
    <w:bookmarkEnd w:id="159"/>
    <w:bookmarkStart w:id="161"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0">
        <w:r>
          <w:rPr>
            <w:rStyle w:val="Hyperlink"/>
          </w:rPr>
          <w:t xml:space="preserve">https://CRAN.R-project.org/package=tidyr</w:t>
        </w:r>
      </w:hyperlink>
    </w:p>
    <w:bookmarkEnd w:id="161"/>
    <w:bookmarkStart w:id="163"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2">
        <w:r>
          <w:rPr>
            <w:rStyle w:val="Hyperlink"/>
          </w:rPr>
          <w:t xml:space="preserve">https://doi.org/10.21105/joss.01686</w:t>
        </w:r>
      </w:hyperlink>
    </w:p>
    <w:bookmarkEnd w:id="163"/>
    <w:bookmarkStart w:id="165"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4">
        <w:r>
          <w:rPr>
            <w:rStyle w:val="Hyperlink"/>
          </w:rPr>
          <w:t xml:space="preserve">https://CRAN.R-project.org/package=dplyr</w:t>
        </w:r>
      </w:hyperlink>
    </w:p>
    <w:bookmarkEnd w:id="165"/>
    <w:bookmarkStart w:id="167"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66">
        <w:r>
          <w:rPr>
            <w:rStyle w:val="Hyperlink"/>
          </w:rPr>
          <w:t xml:space="preserve">https://CRAN.R-project.org/package=readr</w:t>
        </w:r>
      </w:hyperlink>
    </w:p>
    <w:bookmarkEnd w:id="167"/>
    <w:bookmarkEnd w:id="168"/>
    <w:p>
      <w:r>
        <w:br w:type="page"/>
      </w:r>
    </w:p>
    <w:bookmarkStart w:id="169" w:name="table-1"/>
    <w:p>
      <w:pPr>
        <w:pStyle w:val="berschrift2"/>
      </w:pPr>
      <w:r>
        <w:t xml:space="preserve">Table 1</w:t>
      </w:r>
    </w:p>
    <w:bookmarkEnd w:id="169"/>
    <w:bookmarkStart w:id="170" w:name="X782690877b91c23cb4722c5e99de1232f6b0490"/>
    <w:p>
      <w:pPr>
        <w:pStyle w:val="berschrift2"/>
      </w:pPr>
      <w:r>
        <w:rPr>
          <w:iCs/>
          <w:i/>
        </w:rPr>
        <w:t xml:space="preserve">Commonalities and Differences between Three Sequential Hypothesis Testing Procedures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Group-Sequential Designs</w:t>
            </w:r>
          </w:p>
        </w:tc>
        <w:tc>
          <w:tcPr/>
          <w:p>
            <w:pPr>
              <w:pStyle w:val="Compact"/>
              <w:jc w:val="left"/>
            </w:pPr>
            <w:r>
              <w:t xml:space="preserve">Independent Segments Procedure</w:t>
            </w:r>
          </w:p>
        </w:tc>
        <w:tc>
          <w:tcPr/>
          <w:p>
            <w:pPr>
              <w:pStyle w:val="Compact"/>
              <w:jc w:val="left"/>
            </w:pPr>
            <w:r>
              <w:t xml:space="preserve">Sequential Bayes Factor Design</w:t>
            </w:r>
          </w:p>
        </w:tc>
      </w:tr>
      <w:tr>
        <w:tc>
          <w:tcPr/>
          <w:p>
            <w:pPr>
              <w:pStyle w:val="Compact"/>
              <w:jc w:val="left"/>
            </w:pPr>
            <w:r>
              <w:rPr>
                <w:bCs/>
                <w:b/>
              </w:rPr>
              <w:t xml:space="preserve">Aim</w:t>
            </w:r>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tcPr/>
          <w:p>
            <w:pPr>
              <w:pStyle w:val="Compact"/>
              <w:jc w:val="left"/>
            </w:pPr>
            <w:r>
              <w:rPr>
                <w:bCs/>
                <w:b/>
              </w:rPr>
              <w:t xml:space="preserve">Nature of data</w:t>
            </w:r>
          </w:p>
        </w:tc>
        <w:tc>
          <w:tcPr/>
          <w:p>
            <w:pPr>
              <w:pStyle w:val="Compact"/>
              <w:jc w:val="left"/>
            </w:pPr>
            <w:r>
              <w:t xml:space="preserve">Cumulative</w:t>
            </w:r>
          </w:p>
        </w:tc>
        <w:tc>
          <w:tcPr/>
          <w:p>
            <w:pPr>
              <w:pStyle w:val="Compact"/>
              <w:jc w:val="left"/>
            </w:pPr>
            <w:r>
              <w:t xml:space="preserve">Independent</w:t>
            </w:r>
          </w:p>
        </w:tc>
        <w:tc>
          <w:tcPr/>
          <w:p>
            <w:pPr>
              <w:pStyle w:val="Compact"/>
              <w:jc w:val="left"/>
            </w:pPr>
            <w:r>
              <w:t xml:space="preserve">Cumulative</w:t>
            </w:r>
          </w:p>
        </w:tc>
      </w:tr>
      <w:tr>
        <w:tc>
          <w:tcPr/>
          <w:p>
            <w:pPr>
              <w:pStyle w:val="Compact"/>
              <w:jc w:val="left"/>
            </w:pPr>
            <w:r>
              <w:rPr>
                <w:bCs/>
                <w:b/>
              </w:rPr>
              <w:t xml:space="preserve">Control of error rates</w:t>
            </w:r>
          </w:p>
        </w:tc>
        <w:tc>
          <w:tcPr/>
          <w:p>
            <w:pPr>
              <w:pStyle w:val="Compact"/>
              <w:jc w:val="left"/>
            </w:pPr>
            <w:r>
              <w:t xml:space="preserve">Direct</w:t>
            </w:r>
          </w:p>
        </w:tc>
        <w:tc>
          <w:tcPr/>
          <w:p>
            <w:pPr>
              <w:pStyle w:val="Compact"/>
              <w:jc w:val="left"/>
            </w:pPr>
            <w:r>
              <w:t xml:space="preserve">Direct</w:t>
            </w:r>
          </w:p>
        </w:tc>
        <w:tc>
          <w:tcPr/>
          <w:p>
            <w:pPr>
              <w:pStyle w:val="Compact"/>
              <w:jc w:val="left"/>
            </w:pPr>
            <w:r>
              <w:t xml:space="preserve">Indirect (e.g., through simulation)</w:t>
            </w:r>
          </w:p>
        </w:tc>
      </w:tr>
      <w:tr>
        <w:tc>
          <w:tcPr/>
          <w:p>
            <w:pPr>
              <w:pStyle w:val="Compact"/>
              <w:jc w:val="left"/>
            </w:pPr>
            <w:r>
              <w:rPr>
                <w:bCs/>
                <w:b/>
              </w:rPr>
              <w:t xml:space="preserve">Bias correction procedure</w:t>
            </w:r>
          </w:p>
        </w:tc>
        <w:tc>
          <w:tcPr/>
          <w:p>
            <w:pPr>
              <w:pStyle w:val="Compact"/>
              <w:jc w:val="left"/>
            </w:pPr>
            <w:r>
              <w:t xml:space="preserve">Available</w:t>
            </w:r>
          </w:p>
        </w:tc>
        <w:tc>
          <w:tcPr/>
          <w:p>
            <w:pPr>
              <w:pStyle w:val="Compact"/>
              <w:jc w:val="left"/>
            </w:pPr>
            <w:r>
              <w:t xml:space="preserve">Does not exist</w:t>
            </w:r>
          </w:p>
        </w:tc>
        <w:tc>
          <w:tcPr/>
          <w:p>
            <w:pPr>
              <w:pStyle w:val="Compact"/>
              <w:jc w:val="left"/>
            </w:pPr>
            <w:r>
              <w:t xml:space="preserve">Available</w:t>
            </w:r>
          </w:p>
        </w:tc>
      </w:tr>
      <w:tr>
        <w:tc>
          <w:tcPr/>
          <w:p>
            <w:pPr>
              <w:pStyle w:val="Compact"/>
              <w:jc w:val="left"/>
            </w:pPr>
            <w:r>
              <w:rPr>
                <w:bCs/>
                <w:b/>
              </w:rPr>
              <w:t xml:space="preserve">Flexibility</w:t>
            </w:r>
          </w:p>
        </w:tc>
        <w:tc>
          <w:tcPr/>
          <w:p>
            <w:pPr>
              <w:pStyle w:val="Compact"/>
              <w:jc w:val="left"/>
            </w:pPr>
            <w:r>
              <w:t xml:space="preserve">Moderately flexible</w:t>
            </w:r>
          </w:p>
        </w:tc>
        <w:tc>
          <w:tcPr/>
          <w:p>
            <w:pPr>
              <w:pStyle w:val="Compact"/>
              <w:jc w:val="left"/>
            </w:pPr>
            <w:r>
              <w:t xml:space="preserve">Highly restrictive</w:t>
            </w:r>
          </w:p>
        </w:tc>
        <w:tc>
          <w:tcPr/>
          <w:p>
            <w:pPr>
              <w:pStyle w:val="Compact"/>
              <w:jc w:val="left"/>
            </w:pPr>
            <w:r>
              <w:t xml:space="preserve">Highly flexible</w:t>
            </w:r>
          </w:p>
        </w:tc>
      </w:tr>
      <w:tr>
        <w:tc>
          <w:tcPr/>
          <w:p>
            <w:pPr>
              <w:pStyle w:val="Compact"/>
              <w:jc w:val="left"/>
            </w:pPr>
            <w:r>
              <w:rPr>
                <w:bCs/>
                <w:b/>
              </w:rPr>
              <w:t xml:space="preserve">Acceptance of the null</w:t>
            </w:r>
          </w:p>
        </w:tc>
        <w:tc>
          <w:tcPr/>
          <w:p>
            <w:pPr>
              <w:pStyle w:val="Compact"/>
              <w:jc w:val="left"/>
            </w:pPr>
            <w:r>
              <w:t xml:space="preserve">Possible</w:t>
            </w:r>
          </w:p>
        </w:tc>
        <w:tc>
          <w:tcPr/>
          <w:p>
            <w:pPr>
              <w:pStyle w:val="Compact"/>
              <w:jc w:val="left"/>
            </w:pPr>
            <w:r>
              <w:t xml:space="preserve">Impossible</w:t>
            </w:r>
          </w:p>
        </w:tc>
        <w:tc>
          <w:tcPr/>
          <w:p>
            <w:pPr>
              <w:pStyle w:val="Compact"/>
              <w:jc w:val="left"/>
            </w:pPr>
            <w:r>
              <w:t xml:space="preserve">Possible</w:t>
            </w:r>
          </w:p>
        </w:tc>
      </w:tr>
    </w:tbl>
    <w:p>
      <w:r>
        <w:br w:type="page"/>
      </w:r>
    </w:p>
    <w:bookmarkEnd w:id="170"/>
    <w:bookmarkStart w:id="171" w:name="table-2a"/>
    <w:p>
      <w:pPr>
        <w:pStyle w:val="berschrift2"/>
      </w:pPr>
      <w:r>
        <w:t xml:space="preserve">Table 2A</w:t>
      </w:r>
    </w:p>
    <w:bookmarkEnd w:id="171"/>
    <w:bookmarkStart w:id="172" w:name="X31d60ac5493862444dfa29f14142c0fd4d7c8fd"/>
    <w:p>
      <w:pPr>
        <w:pStyle w:val="berschrift2"/>
      </w:pPr>
      <w:r>
        <w:rPr>
          <w:iCs/>
          <w:i/>
        </w:rPr>
        <w:t xml:space="preserve">True Negative, False Positive,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Negative</w:t>
            </w:r>
          </w:p>
        </w:tc>
        <w:tc>
          <w:tcPr/>
          <w:p>
            <w:pPr>
              <w:pStyle w:val="Compact"/>
              <w:jc w:val="center"/>
            </w:pPr>
            <w:r>
              <w:t xml:space="preserve">Inconclusive</w:t>
            </w:r>
          </w:p>
        </w:tc>
        <w:tc>
          <w:tcPr/>
          <w:p>
            <w:pPr>
              <w:pStyle w:val="Compact"/>
              <w:jc w:val="center"/>
            </w:pPr>
            <w:r>
              <w:t xml:space="preserve">False Positive</w:t>
            </w:r>
          </w:p>
        </w:tc>
      </w:tr>
      <w:tr>
        <w:tc>
          <w:tcPr/>
          <w:p>
            <w:pPr>
              <w:pStyle w:val="Compact"/>
              <w:jc w:val="left"/>
            </w:pPr>
            <w:r>
              <w:t xml:space="preserve">Fixed</w:t>
            </w:r>
          </w:p>
        </w:tc>
        <w:tc>
          <w:tcPr/>
          <w:p>
            <w:pPr>
              <w:pStyle w:val="Compact"/>
              <w:jc w:val="center"/>
            </w:pPr>
            <w:r>
              <w:t xml:space="preserve">0.79</w:t>
            </w:r>
          </w:p>
        </w:tc>
        <w:tc>
          <w:tcPr/>
          <w:p>
            <w:pPr>
              <w:pStyle w:val="Compact"/>
              <w:jc w:val="center"/>
            </w:pPr>
            <w:r>
              <w:t xml:space="preserve">0.16</w:t>
            </w:r>
          </w:p>
        </w:tc>
        <w:tc>
          <w:tcPr/>
          <w:p>
            <w:pPr>
              <w:pStyle w:val="Compact"/>
              <w:jc w:val="center"/>
            </w:pPr>
            <w:r>
              <w:t xml:space="preserve">0.05</w:t>
            </w:r>
          </w:p>
        </w:tc>
      </w:tr>
      <w:tr>
        <w:tc>
          <w:tcPr/>
          <w:p>
            <w:pPr>
              <w:pStyle w:val="Compact"/>
              <w:jc w:val="left"/>
            </w:pPr>
            <w:r>
              <w:t xml:space="preserve">Pocock</w:t>
            </w:r>
          </w:p>
        </w:tc>
        <w:tc>
          <w:tcPr/>
          <w:p>
            <w:pPr>
              <w:pStyle w:val="Compact"/>
              <w:jc w:val="center"/>
            </w:pPr>
            <w:r>
              <w:t xml:space="preserve">0.88</w:t>
            </w:r>
          </w:p>
        </w:tc>
        <w:tc>
          <w:tcPr/>
          <w:p>
            <w:pPr>
              <w:pStyle w:val="Compact"/>
              <w:jc w:val="center"/>
            </w:pPr>
            <w:r>
              <w:t xml:space="preserve">0.07</w:t>
            </w:r>
          </w:p>
        </w:tc>
        <w:tc>
          <w:tcPr/>
          <w:p>
            <w:pPr>
              <w:pStyle w:val="Compact"/>
              <w:jc w:val="center"/>
            </w:pPr>
            <w:r>
              <w:t xml:space="preserve">0.05</w:t>
            </w:r>
          </w:p>
        </w:tc>
      </w:tr>
      <w:tr>
        <w:tc>
          <w:tcPr/>
          <w:p>
            <w:pPr>
              <w:pStyle w:val="Compact"/>
              <w:jc w:val="left"/>
            </w:pPr>
            <w:r>
              <w:t xml:space="preserve">O’Brien-Fleming</w:t>
            </w:r>
          </w:p>
        </w:tc>
        <w:tc>
          <w:tcPr/>
          <w:p>
            <w:pPr>
              <w:pStyle w:val="Compact"/>
              <w:jc w:val="center"/>
            </w:pPr>
            <w:r>
              <w:t xml:space="preserve">0.87</w:t>
            </w:r>
          </w:p>
        </w:tc>
        <w:tc>
          <w:tcPr/>
          <w:p>
            <w:pPr>
              <w:pStyle w:val="Compact"/>
              <w:jc w:val="center"/>
            </w:pPr>
            <w:r>
              <w:t xml:space="preserve">0.08</w:t>
            </w:r>
          </w:p>
        </w:tc>
        <w:tc>
          <w:tcPr/>
          <w:p>
            <w:pPr>
              <w:pStyle w:val="Compact"/>
              <w:jc w:val="center"/>
            </w:pPr>
            <w:r>
              <w:t xml:space="preserve">0.05</w:t>
            </w:r>
          </w:p>
        </w:tc>
      </w:tr>
      <w:tr>
        <w:tc>
          <w:tcPr/>
          <w:p>
            <w:pPr>
              <w:pStyle w:val="Compact"/>
              <w:jc w:val="left"/>
            </w:pPr>
            <w:r>
              <w:t xml:space="preserve">Bayes</w:t>
            </w:r>
          </w:p>
        </w:tc>
        <w:tc>
          <w:tcPr/>
          <w:p>
            <w:pPr>
              <w:pStyle w:val="Compact"/>
              <w:jc w:val="center"/>
            </w:pPr>
            <w:r>
              <w:t xml:space="preserve">0.85</w:t>
            </w:r>
          </w:p>
        </w:tc>
        <w:tc>
          <w:tcPr/>
          <w:p>
            <w:pPr>
              <w:pStyle w:val="Compact"/>
              <w:jc w:val="center"/>
            </w:pPr>
            <w:r>
              <w:t xml:space="preserve">0.09</w:t>
            </w:r>
          </w:p>
        </w:tc>
        <w:tc>
          <w:tcPr/>
          <w:p>
            <w:pPr>
              <w:pStyle w:val="Compact"/>
              <w:jc w:val="center"/>
            </w:pPr>
            <w:r>
              <w:t xml:space="preserve">0.06</w:t>
            </w:r>
          </w:p>
        </w:tc>
      </w:tr>
      <w:tr>
        <w:tc>
          <w:tcPr/>
          <w:p>
            <w:pPr>
              <w:pStyle w:val="Compact"/>
              <w:jc w:val="left"/>
            </w:pPr>
            <w:r>
              <w:t xml:space="preserve">ISP</w:t>
            </w:r>
          </w:p>
        </w:tc>
        <w:tc>
          <w:tcPr/>
          <w:p>
            <w:pPr>
              <w:pStyle w:val="Compact"/>
              <w:jc w:val="center"/>
            </w:pPr>
            <w:r>
              <w:t xml:space="preserve">0.90</w:t>
            </w:r>
          </w:p>
        </w:tc>
        <w:tc>
          <w:tcPr/>
          <w:p>
            <w:pPr>
              <w:pStyle w:val="Compact"/>
              <w:jc w:val="center"/>
            </w:pPr>
            <w:r>
              <w:t xml:space="preserve">0.05</w:t>
            </w:r>
          </w:p>
        </w:tc>
        <w:tc>
          <w:tcPr/>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2"/>
    <w:bookmarkStart w:id="173" w:name="table-2b"/>
    <w:p>
      <w:pPr>
        <w:pStyle w:val="berschrift2"/>
      </w:pPr>
      <w:r>
        <w:t xml:space="preserve">Table 2B</w:t>
      </w:r>
    </w:p>
    <w:bookmarkEnd w:id="173"/>
    <w:bookmarkStart w:id="174" w:name="Xfb3037f5c7761698b734856b6db49ffd13c4be5"/>
    <w:p>
      <w:pPr>
        <w:pStyle w:val="berschrift2"/>
      </w:pPr>
      <w:r>
        <w:rPr>
          <w:iCs/>
          <w:i/>
        </w:rPr>
        <w:t xml:space="preserve">True Positive, False Negative,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Positive</w:t>
            </w:r>
          </w:p>
        </w:tc>
        <w:tc>
          <w:tcPr/>
          <w:p>
            <w:pPr>
              <w:pStyle w:val="Compact"/>
              <w:jc w:val="center"/>
            </w:pPr>
            <w:r>
              <w:t xml:space="preserve">Inconclusive</w:t>
            </w:r>
          </w:p>
        </w:tc>
        <w:tc>
          <w:tcPr/>
          <w:p>
            <w:pPr>
              <w:pStyle w:val="Compact"/>
              <w:jc w:val="center"/>
            </w:pPr>
            <w:r>
              <w:t xml:space="preserve">False Negative</w:t>
            </w:r>
          </w:p>
        </w:tc>
      </w:tr>
      <w:tr>
        <w:tc>
          <w:tcPr/>
          <w:p>
            <w:pPr>
              <w:pStyle w:val="Compact"/>
              <w:jc w:val="left"/>
            </w:pPr>
            <w:r>
              <w:t xml:space="preserve">Fixed</w:t>
            </w:r>
          </w:p>
        </w:tc>
        <w:tc>
          <w:tcPr/>
          <w:p>
            <w:pPr>
              <w:pStyle w:val="Compact"/>
              <w:jc w:val="center"/>
            </w:pPr>
            <w:r>
              <w:t xml:space="preserve">0.80</w:t>
            </w:r>
          </w:p>
        </w:tc>
        <w:tc>
          <w:tcPr/>
          <w:p>
            <w:pPr>
              <w:pStyle w:val="Compact"/>
              <w:jc w:val="center"/>
            </w:pPr>
            <w:r>
              <w:t xml:space="preserve">0.09</w:t>
            </w:r>
          </w:p>
        </w:tc>
        <w:tc>
          <w:tcPr/>
          <w:p>
            <w:pPr>
              <w:pStyle w:val="Compact"/>
              <w:jc w:val="center"/>
            </w:pPr>
            <w:r>
              <w:t xml:space="preserve">0.10</w:t>
            </w:r>
          </w:p>
        </w:tc>
      </w:tr>
      <w:tr>
        <w:tc>
          <w:tcPr/>
          <w:p>
            <w:pPr>
              <w:pStyle w:val="Compact"/>
              <w:jc w:val="left"/>
            </w:pPr>
            <w:r>
              <w:t xml:space="preserve">Pocock</w:t>
            </w:r>
          </w:p>
        </w:tc>
        <w:tc>
          <w:tcPr/>
          <w:p>
            <w:pPr>
              <w:pStyle w:val="Compact"/>
              <w:jc w:val="center"/>
            </w:pPr>
            <w:r>
              <w:t xml:space="preserve">0.80</w:t>
            </w:r>
          </w:p>
        </w:tc>
        <w:tc>
          <w:tcPr/>
          <w:p>
            <w:pPr>
              <w:pStyle w:val="Compact"/>
              <w:jc w:val="center"/>
            </w:pPr>
            <w:r>
              <w:t xml:space="preserve">0.05</w:t>
            </w:r>
          </w:p>
        </w:tc>
        <w:tc>
          <w:tcPr/>
          <w:p>
            <w:pPr>
              <w:pStyle w:val="Compact"/>
              <w:jc w:val="center"/>
            </w:pPr>
            <w:r>
              <w:t xml:space="preserve">0.15</w:t>
            </w:r>
          </w:p>
        </w:tc>
      </w:tr>
      <w:tr>
        <w:tc>
          <w:tcPr/>
          <w:p>
            <w:pPr>
              <w:pStyle w:val="Compact"/>
              <w:jc w:val="left"/>
            </w:pPr>
            <w:r>
              <w:t xml:space="preserve">O’Brien-Fleming</w:t>
            </w:r>
          </w:p>
        </w:tc>
        <w:tc>
          <w:tcPr/>
          <w:p>
            <w:pPr>
              <w:pStyle w:val="Compact"/>
              <w:jc w:val="center"/>
            </w:pPr>
            <w:r>
              <w:t xml:space="preserve">0.82</w:t>
            </w:r>
          </w:p>
        </w:tc>
        <w:tc>
          <w:tcPr/>
          <w:p>
            <w:pPr>
              <w:pStyle w:val="Compact"/>
              <w:jc w:val="center"/>
            </w:pPr>
            <w:r>
              <w:t xml:space="preserve">0.06</w:t>
            </w:r>
          </w:p>
        </w:tc>
        <w:tc>
          <w:tcPr/>
          <w:p>
            <w:pPr>
              <w:pStyle w:val="Compact"/>
              <w:jc w:val="center"/>
            </w:pPr>
            <w:r>
              <w:t xml:space="preserve">0.13</w:t>
            </w:r>
          </w:p>
        </w:tc>
      </w:tr>
      <w:tr>
        <w:tc>
          <w:tcPr/>
          <w:p>
            <w:pPr>
              <w:pStyle w:val="Compact"/>
              <w:jc w:val="left"/>
            </w:pPr>
            <w:r>
              <w:t xml:space="preserve">Bayes</w:t>
            </w:r>
          </w:p>
        </w:tc>
        <w:tc>
          <w:tcPr/>
          <w:p>
            <w:pPr>
              <w:pStyle w:val="Compact"/>
              <w:jc w:val="center"/>
            </w:pPr>
            <w:r>
              <w:t xml:space="preserve">0.84</w:t>
            </w:r>
          </w:p>
        </w:tc>
        <w:tc>
          <w:tcPr/>
          <w:p>
            <w:pPr>
              <w:pStyle w:val="Compact"/>
              <w:jc w:val="center"/>
            </w:pPr>
            <w:r>
              <w:t xml:space="preserve">0.08</w:t>
            </w:r>
          </w:p>
        </w:tc>
        <w:tc>
          <w:tcPr/>
          <w:p>
            <w:pPr>
              <w:pStyle w:val="Compact"/>
              <w:jc w:val="center"/>
            </w:pPr>
            <w:r>
              <w:t xml:space="preserve">0.08</w:t>
            </w:r>
          </w:p>
        </w:tc>
      </w:tr>
      <w:tr>
        <w:tc>
          <w:tcPr/>
          <w:p>
            <w:pPr>
              <w:pStyle w:val="Compact"/>
              <w:jc w:val="left"/>
            </w:pPr>
            <w:r>
              <w:t xml:space="preserve">ISP</w:t>
            </w:r>
          </w:p>
        </w:tc>
        <w:tc>
          <w:tcPr/>
          <w:p>
            <w:pPr>
              <w:pStyle w:val="Compact"/>
              <w:jc w:val="center"/>
            </w:pPr>
            <w:r>
              <w:t xml:space="preserve">0.80</w:t>
            </w:r>
          </w:p>
        </w:tc>
        <w:tc>
          <w:tcPr/>
          <w:p>
            <w:pPr>
              <w:pStyle w:val="Compact"/>
              <w:jc w:val="center"/>
            </w:pPr>
            <w:r>
              <w:t xml:space="preserve">0.03</w:t>
            </w:r>
          </w:p>
        </w:tc>
        <w:tc>
          <w:tcPr/>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4"/>
    <w:bookmarkStart w:id="175" w:name="table-3"/>
    <w:p>
      <w:pPr>
        <w:pStyle w:val="berschrift2"/>
      </w:pPr>
      <w:r>
        <w:t xml:space="preserve">Table 3</w:t>
      </w:r>
    </w:p>
    <w:bookmarkEnd w:id="175"/>
    <w:bookmarkStart w:id="176" w:name="average-sample-size-required"/>
    <w:p>
      <w:pPr>
        <w:pStyle w:val="berschrift2"/>
      </w:pPr>
      <w:r>
        <w:rPr>
          <w:iCs/>
          <w:i/>
        </w:rPr>
        <w:t xml:space="preserve">Average Sample Size Required</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r>
      <w:tr>
        <w:tc>
          <w:tcPr/>
          <w:p>
            <w:pPr>
              <w:pStyle w:val="Compact"/>
              <w:jc w:val="left"/>
            </w:pPr>
            <w:r>
              <w:t xml:space="preserve">Pocock</w:t>
            </w:r>
          </w:p>
        </w:tc>
        <w:tc>
          <w:tcPr/>
          <w:p>
            <w:pPr>
              <w:pStyle w:val="Compact"/>
              <w:jc w:val="right"/>
            </w:pPr>
            <w:r>
              <w:t xml:space="preserve">26</w:t>
            </w:r>
          </w:p>
        </w:tc>
        <w:tc>
          <w:tcPr/>
          <w:p>
            <w:pPr>
              <w:pStyle w:val="Compact"/>
              <w:jc w:val="right"/>
            </w:pPr>
            <w:r>
              <w:t xml:space="preserve">32</w:t>
            </w:r>
          </w:p>
        </w:tc>
        <w:tc>
          <w:tcPr/>
          <w:p>
            <w:pPr>
              <w:pStyle w:val="Compact"/>
              <w:jc w:val="right"/>
            </w:pPr>
            <w:r>
              <w:t xml:space="preserve">39</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35</w:t>
            </w:r>
          </w:p>
        </w:tc>
        <w:tc>
          <w:tcPr/>
          <w:p>
            <w:pPr>
              <w:pStyle w:val="Compact"/>
              <w:jc w:val="right"/>
            </w:pPr>
            <w:r>
              <w:t xml:space="preserve">29</w:t>
            </w:r>
          </w:p>
        </w:tc>
        <w:tc>
          <w:tcPr/>
          <w:p>
            <w:pPr>
              <w:pStyle w:val="Compact"/>
              <w:jc w:val="right"/>
            </w:pPr>
            <w:r>
              <w:t xml:space="preserve">24</w:t>
            </w:r>
          </w:p>
        </w:tc>
      </w:tr>
      <w:tr>
        <w:tc>
          <w:tcPr/>
          <w:p>
            <w:pPr>
              <w:pStyle w:val="Compact"/>
              <w:jc w:val="left"/>
            </w:pPr>
            <w:r>
              <w:t xml:space="preserve">O’Brien-Fleming</w:t>
            </w:r>
          </w:p>
        </w:tc>
        <w:tc>
          <w:tcPr/>
          <w:p>
            <w:pPr>
              <w:pStyle w:val="Compact"/>
              <w:jc w:val="right"/>
            </w:pPr>
            <w:r>
              <w:t xml:space="preserve">30</w:t>
            </w:r>
          </w:p>
        </w:tc>
        <w:tc>
          <w:tcPr/>
          <w:p>
            <w:pPr>
              <w:pStyle w:val="Compact"/>
              <w:jc w:val="right"/>
            </w:pPr>
            <w:r>
              <w:t xml:space="preserve">34</w:t>
            </w:r>
          </w:p>
        </w:tc>
        <w:tc>
          <w:tcPr/>
          <w:p>
            <w:pPr>
              <w:pStyle w:val="Compact"/>
              <w:jc w:val="right"/>
            </w:pPr>
            <w:r>
              <w:t xml:space="preserve">41</w:t>
            </w:r>
          </w:p>
        </w:tc>
        <w:tc>
          <w:tcPr/>
          <w:p>
            <w:pPr>
              <w:pStyle w:val="Compact"/>
              <w:jc w:val="right"/>
            </w:pPr>
            <w:r>
              <w:t xml:space="preserve">43</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33</w:t>
            </w:r>
          </w:p>
        </w:tc>
        <w:tc>
          <w:tcPr/>
          <w:p>
            <w:pPr>
              <w:pStyle w:val="Compact"/>
              <w:jc w:val="right"/>
            </w:pPr>
            <w:r>
              <w:t xml:space="preserve">30</w:t>
            </w:r>
          </w:p>
        </w:tc>
      </w:tr>
      <w:tr>
        <w:tc>
          <w:tcPr/>
          <w:p>
            <w:pPr>
              <w:pStyle w:val="Compact"/>
              <w:jc w:val="left"/>
            </w:pPr>
            <w:r>
              <w:t xml:space="preserve">Bayes</w:t>
            </w:r>
          </w:p>
        </w:tc>
        <w:tc>
          <w:tcPr/>
          <w:p>
            <w:pPr>
              <w:pStyle w:val="Compact"/>
              <w:jc w:val="right"/>
            </w:pPr>
            <w:r>
              <w:t xml:space="preserve">30</w:t>
            </w:r>
          </w:p>
        </w:tc>
        <w:tc>
          <w:tcPr/>
          <w:p>
            <w:pPr>
              <w:pStyle w:val="Compact"/>
              <w:jc w:val="right"/>
            </w:pPr>
            <w:r>
              <w:t xml:space="preserve">39</w:t>
            </w:r>
          </w:p>
        </w:tc>
        <w:tc>
          <w:tcPr/>
          <w:p>
            <w:pPr>
              <w:pStyle w:val="Compact"/>
              <w:jc w:val="right"/>
            </w:pPr>
            <w:r>
              <w:t xml:space="preserve">47</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37</w:t>
            </w:r>
          </w:p>
        </w:tc>
        <w:tc>
          <w:tcPr/>
          <w:p>
            <w:pPr>
              <w:pStyle w:val="Compact"/>
              <w:jc w:val="right"/>
            </w:pPr>
            <w:r>
              <w:t xml:space="preserve">30</w:t>
            </w:r>
          </w:p>
        </w:tc>
        <w:tc>
          <w:tcPr/>
          <w:p>
            <w:pPr>
              <w:pStyle w:val="Compact"/>
              <w:jc w:val="right"/>
            </w:pPr>
            <w:r>
              <w:t xml:space="preserve">26</w:t>
            </w:r>
          </w:p>
        </w:tc>
      </w:tr>
      <w:tr>
        <w:tc>
          <w:tcPr/>
          <w:p>
            <w:pPr>
              <w:pStyle w:val="Compact"/>
              <w:jc w:val="left"/>
            </w:pPr>
            <w:r>
              <w:t xml:space="preserve">ISP</w:t>
            </w:r>
          </w:p>
        </w:tc>
        <w:tc>
          <w:tcPr/>
          <w:p>
            <w:pPr>
              <w:pStyle w:val="Compact"/>
              <w:jc w:val="right"/>
            </w:pPr>
            <w:r>
              <w:t xml:space="preserve">28</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45</w:t>
            </w:r>
          </w:p>
        </w:tc>
        <w:tc>
          <w:tcPr/>
          <w:p>
            <w:pPr>
              <w:pStyle w:val="Compact"/>
              <w:jc w:val="right"/>
            </w:pPr>
            <w:r>
              <w:t xml:space="preserve">42</w:t>
            </w:r>
          </w:p>
        </w:tc>
        <w:tc>
          <w:tcPr/>
          <w:p>
            <w:pPr>
              <w:pStyle w:val="Compact"/>
              <w:jc w:val="right"/>
            </w:pPr>
            <w:r>
              <w:t xml:space="preserve">39</w:t>
            </w:r>
          </w:p>
        </w:tc>
        <w:tc>
          <w:tcPr/>
          <w:p>
            <w:pPr>
              <w:pStyle w:val="Compact"/>
              <w:jc w:val="right"/>
            </w:pPr>
            <w:r>
              <w:t xml:space="preserve">31</w:t>
            </w:r>
          </w:p>
        </w:tc>
        <w:tc>
          <w:tcPr/>
          <w:p>
            <w:pPr>
              <w:pStyle w:val="Compact"/>
              <w:jc w:val="right"/>
            </w:pPr>
            <w:r>
              <w:t xml:space="preserve">27</w:t>
            </w:r>
          </w:p>
        </w:tc>
      </w:tr>
    </w:tbl>
    <w:p>
      <w:r>
        <w:br w:type="page"/>
      </w:r>
    </w:p>
    <w:bookmarkEnd w:id="176"/>
    <w:bookmarkStart w:id="177" w:name="table-4"/>
    <w:p>
      <w:pPr>
        <w:pStyle w:val="berschrift2"/>
      </w:pPr>
      <w:r>
        <w:t xml:space="preserve">Table 4</w:t>
      </w:r>
    </w:p>
    <w:bookmarkEnd w:id="177"/>
    <w:bookmarkStart w:id="178" w:name="median-effect-size-estimate"/>
    <w:p>
      <w:pPr>
        <w:pStyle w:val="berschrift2"/>
      </w:pPr>
      <w:r>
        <w:rPr>
          <w:iCs/>
          <w:i/>
        </w:rPr>
        <w:t xml:space="preserve">Median Effect Size Estimate</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-0.20</w:t>
            </w:r>
          </w:p>
        </w:tc>
        <w:tc>
          <w:tcPr/>
          <w:p>
            <w:pPr>
              <w:pStyle w:val="Compact"/>
              <w:jc w:val="right"/>
            </w:pPr>
            <w:r>
              <w:t xml:space="preserve">0.00</w:t>
            </w:r>
          </w:p>
        </w:tc>
        <w:tc>
          <w:tcPr/>
          <w:p>
            <w:pPr>
              <w:pStyle w:val="Compact"/>
              <w:jc w:val="right"/>
            </w:pPr>
            <w:r>
              <w:t xml:space="preserve">0.20</w:t>
            </w:r>
          </w:p>
        </w:tc>
        <w:tc>
          <w:tcPr/>
          <w:p>
            <w:pPr>
              <w:pStyle w:val="Compact"/>
              <w:jc w:val="right"/>
            </w:pPr>
            <w:r>
              <w:t xml:space="preserve">0.40</w:t>
            </w:r>
          </w:p>
        </w:tc>
        <w:tc>
          <w:tcPr/>
          <w:p>
            <w:pPr>
              <w:pStyle w:val="Compact"/>
              <w:jc w:val="right"/>
            </w:pPr>
            <w:r>
              <w:t xml:space="preserve">0.50</w:t>
            </w:r>
          </w:p>
        </w:tc>
        <w:tc>
          <w:tcPr/>
          <w:p>
            <w:pPr>
              <w:pStyle w:val="Compact"/>
              <w:jc w:val="right"/>
            </w:pPr>
            <w:r>
              <w:t xml:space="preserve">0.60</w:t>
            </w:r>
          </w:p>
        </w:tc>
        <w:tc>
          <w:tcPr/>
          <w:p>
            <w:pPr>
              <w:pStyle w:val="Compact"/>
              <w:jc w:val="right"/>
            </w:pPr>
            <w:r>
              <w:t xml:space="preserve">0.80</w:t>
            </w:r>
          </w:p>
        </w:tc>
        <w:tc>
          <w:tcPr/>
          <w:p>
            <w:pPr>
              <w:pStyle w:val="Compact"/>
              <w:jc w:val="right"/>
            </w:pPr>
            <w:r>
              <w:t xml:space="preserve">1.00</w:t>
            </w:r>
          </w:p>
        </w:tc>
      </w:tr>
      <w:tr>
        <w:tc>
          <w:tcPr/>
          <w:p>
            <w:pPr>
              <w:pStyle w:val="Compact"/>
              <w:jc w:val="left"/>
            </w:pPr>
            <w:r>
              <w:t xml:space="preserve">Pocock</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0.13</w:t>
            </w:r>
          </w:p>
        </w:tc>
        <w:tc>
          <w:tcPr/>
          <w:p>
            <w:pPr>
              <w:pStyle w:val="Compact"/>
              <w:jc w:val="right"/>
            </w:pPr>
            <w:r>
              <w:t xml:space="preserve">0.45</w:t>
            </w:r>
          </w:p>
        </w:tc>
        <w:tc>
          <w:tcPr/>
          <w:p>
            <w:pPr>
              <w:pStyle w:val="Compact"/>
              <w:jc w:val="right"/>
            </w:pPr>
            <w:r>
              <w:t xml:space="preserve">0.56</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O’Brien-Fleming</w:t>
            </w:r>
          </w:p>
        </w:tc>
        <w:tc>
          <w:tcPr/>
          <w:p>
            <w:pPr>
              <w:pStyle w:val="Compact"/>
              <w:jc w:val="right"/>
            </w:pPr>
            <w:r>
              <w:t xml:space="preserve">-0.20</w:t>
            </w:r>
          </w:p>
        </w:tc>
        <w:tc>
          <w:tcPr/>
          <w:p>
            <w:pPr>
              <w:pStyle w:val="Compact"/>
              <w:jc w:val="right"/>
            </w:pPr>
            <w:r>
              <w:t xml:space="preserve">-0.02</w:t>
            </w:r>
          </w:p>
        </w:tc>
        <w:tc>
          <w:tcPr/>
          <w:p>
            <w:pPr>
              <w:pStyle w:val="Compact"/>
              <w:jc w:val="right"/>
            </w:pPr>
            <w:r>
              <w:t xml:space="preserve">0.16</w:t>
            </w:r>
          </w:p>
        </w:tc>
        <w:tc>
          <w:tcPr/>
          <w:p>
            <w:pPr>
              <w:pStyle w:val="Compact"/>
              <w:jc w:val="right"/>
            </w:pPr>
            <w:r>
              <w:t xml:space="preserve">0.45</w:t>
            </w:r>
          </w:p>
        </w:tc>
        <w:tc>
          <w:tcPr/>
          <w:p>
            <w:pPr>
              <w:pStyle w:val="Compact"/>
              <w:jc w:val="right"/>
            </w:pPr>
            <w:r>
              <w:t xml:space="preserve">0.53</w:t>
            </w:r>
          </w:p>
        </w:tc>
        <w:tc>
          <w:tcPr/>
          <w:p>
            <w:pPr>
              <w:pStyle w:val="Compact"/>
              <w:jc w:val="right"/>
            </w:pPr>
            <w:r>
              <w:t xml:space="preserve">0.64</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Bayes</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0.14</w:t>
            </w:r>
          </w:p>
        </w:tc>
        <w:tc>
          <w:tcPr/>
          <w:p>
            <w:pPr>
              <w:pStyle w:val="Compact"/>
              <w:jc w:val="right"/>
            </w:pPr>
            <w:r>
              <w:t xml:space="preserve">0.47</w:t>
            </w:r>
          </w:p>
        </w:tc>
        <w:tc>
          <w:tcPr/>
          <w:p>
            <w:pPr>
              <w:pStyle w:val="Compact"/>
              <w:jc w:val="right"/>
            </w:pPr>
            <w:r>
              <w:t xml:space="preserve">0.57</w:t>
            </w:r>
          </w:p>
        </w:tc>
        <w:tc>
          <w:tcPr/>
          <w:p>
            <w:pPr>
              <w:pStyle w:val="Compact"/>
              <w:jc w:val="right"/>
            </w:pPr>
            <w:r>
              <w:t xml:space="preserve">0.65</w:t>
            </w:r>
          </w:p>
        </w:tc>
        <w:tc>
          <w:tcPr/>
          <w:p>
            <w:pPr>
              <w:pStyle w:val="Compact"/>
              <w:jc w:val="right"/>
            </w:pPr>
            <w:r>
              <w:t xml:space="preserve">0.83</w:t>
            </w:r>
          </w:p>
        </w:tc>
        <w:tc>
          <w:tcPr/>
          <w:p>
            <w:pPr>
              <w:pStyle w:val="Compact"/>
              <w:jc w:val="right"/>
            </w:pPr>
            <w:r>
              <w:t xml:space="preserve">1.03</w:t>
            </w:r>
          </w:p>
        </w:tc>
      </w:tr>
      <w:tr>
        <w:tc>
          <w:tcPr/>
          <w:p>
            <w:pPr>
              <w:pStyle w:val="Compact"/>
              <w:jc w:val="left"/>
            </w:pPr>
            <w:r>
              <w:t xml:space="preserve">ISP</w:t>
            </w:r>
          </w:p>
        </w:tc>
        <w:tc>
          <w:tcPr/>
          <w:p>
            <w:pPr>
              <w:pStyle w:val="Compact"/>
              <w:jc w:val="right"/>
            </w:pPr>
            <w:r>
              <w:t xml:space="preserve">-0.23</w:t>
            </w:r>
          </w:p>
        </w:tc>
        <w:tc>
          <w:tcPr/>
          <w:p>
            <w:pPr>
              <w:pStyle w:val="Compact"/>
              <w:jc w:val="right"/>
            </w:pPr>
            <w:r>
              <w:t xml:space="preserve">-0.08</w:t>
            </w:r>
          </w:p>
        </w:tc>
        <w:tc>
          <w:tcPr/>
          <w:p>
            <w:pPr>
              <w:pStyle w:val="Compact"/>
              <w:jc w:val="right"/>
            </w:pPr>
            <w:r>
              <w:t xml:space="preserve">0.05</w:t>
            </w:r>
          </w:p>
        </w:tc>
        <w:tc>
          <w:tcPr/>
          <w:p>
            <w:pPr>
              <w:pStyle w:val="Compact"/>
              <w:jc w:val="right"/>
            </w:pPr>
            <w:r>
              <w:t xml:space="preserve">0.57</w:t>
            </w:r>
          </w:p>
        </w:tc>
        <w:tc>
          <w:tcPr/>
          <w:p>
            <w:pPr>
              <w:pStyle w:val="Compact"/>
              <w:jc w:val="right"/>
            </w:pPr>
            <w:r>
              <w:t xml:space="preserve">0.66</w:t>
            </w:r>
          </w:p>
        </w:tc>
        <w:tc>
          <w:tcPr/>
          <w:p>
            <w:pPr>
              <w:pStyle w:val="Compact"/>
              <w:jc w:val="right"/>
            </w:pPr>
            <w:r>
              <w:t xml:space="preserve">0.74</w:t>
            </w:r>
          </w:p>
        </w:tc>
        <w:tc>
          <w:tcPr/>
          <w:p>
            <w:pPr>
              <w:pStyle w:val="Compact"/>
              <w:jc w:val="right"/>
            </w:pPr>
            <w:r>
              <w:t xml:space="preserve">0.87</w:t>
            </w:r>
          </w:p>
        </w:tc>
        <w:tc>
          <w:tcPr/>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For the Fixed, Pocock, O’Brien-Fleming, and ISP procedure, the effect size measure is Cohen’s d. For the Sequential Bayes Factor, the effect size measure is the mean of the posterior distribution.</w:t>
      </w:r>
    </w:p>
    <w:p>
      <w:r>
        <w:br w:type="page"/>
      </w:r>
    </w:p>
    <w:bookmarkEnd w:id="178"/>
    <w:bookmarkStart w:id="179" w:name="figure-1a"/>
    <w:p>
      <w:pPr>
        <w:pStyle w:val="berschrift2"/>
      </w:pPr>
      <w:r>
        <w:t xml:space="preserve">Figure 1A</w:t>
      </w:r>
    </w:p>
    <w:bookmarkEnd w:id="179"/>
    <w:bookmarkStart w:id="181"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0"/>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1"/>
    <w:bookmarkStart w:id="182" w:name="figure-1b"/>
    <w:p>
      <w:pPr>
        <w:pStyle w:val="berschrift2"/>
      </w:pPr>
      <w:r>
        <w:t xml:space="preserve">Figure 1B</w:t>
      </w:r>
    </w:p>
    <w:bookmarkEnd w:id="182"/>
    <w:bookmarkStart w:id="184"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3"/>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4"/>
    <w:bookmarkStart w:id="185" w:name="figure-2a"/>
    <w:p>
      <w:pPr>
        <w:pStyle w:val="berschrift2"/>
      </w:pPr>
      <w:r>
        <w:t xml:space="preserve">Figure 2A</w:t>
      </w:r>
    </w:p>
    <w:bookmarkEnd w:id="185"/>
    <w:bookmarkStart w:id="187" w:name="X381fd62373a827a52d7a7ac1e2f4a819ae8adb2"/>
    <w:p>
      <w:pPr>
        <w:pStyle w:val="berschrift2"/>
      </w:pPr>
      <w:r>
        <w:rPr>
          <w:iCs/>
          <w:i/>
        </w:rPr>
        <w:t xml:space="preserve">Bayes Factor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86"/>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87"/>
    <w:bookmarkStart w:id="188" w:name="figure-2b"/>
    <w:p>
      <w:pPr>
        <w:pStyle w:val="berschrift2"/>
      </w:pPr>
      <w:r>
        <w:t xml:space="preserve">Figure 2B</w:t>
      </w:r>
    </w:p>
    <w:bookmarkEnd w:id="188"/>
    <w:bookmarkStart w:id="190"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89"/>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0"/>
    <w:bookmarkStart w:id="191" w:name="figure-3a"/>
    <w:p>
      <w:pPr>
        <w:pStyle w:val="berschrift2"/>
      </w:pPr>
      <w:r>
        <w:t xml:space="preserve">Figure 3A</w:t>
      </w:r>
    </w:p>
    <w:bookmarkEnd w:id="191"/>
    <w:bookmarkStart w:id="193"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2"/>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3"/>
    <w:bookmarkStart w:id="194" w:name="figure-3b"/>
    <w:p>
      <w:pPr>
        <w:pStyle w:val="berschrift2"/>
      </w:pPr>
      <w:r>
        <w:t xml:space="preserve">Figure 3B</w:t>
      </w:r>
    </w:p>
    <w:bookmarkEnd w:id="194"/>
    <w:bookmarkStart w:id="196"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5"/>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96"/>
    <w:bookmarkStart w:id="197" w:name="figure-4"/>
    <w:p>
      <w:pPr>
        <w:pStyle w:val="berschrift2"/>
      </w:pPr>
      <w:r>
        <w:t xml:space="preserve">Figure 4</w:t>
      </w:r>
    </w:p>
    <w:bookmarkEnd w:id="197"/>
    <w:bookmarkStart w:id="199"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198"/>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199"/>
    <w:bookmarkStart w:id="200" w:name="figure-5"/>
    <w:p>
      <w:pPr>
        <w:pStyle w:val="berschrift2"/>
      </w:pPr>
      <w:r>
        <w:t xml:space="preserve">Figure 5</w:t>
      </w:r>
    </w:p>
    <w:bookmarkEnd w:id="200"/>
    <w:bookmarkStart w:id="202"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2"/>
    <w:bookmarkStart w:id="203" w:name="figure-6"/>
    <w:p>
      <w:pPr>
        <w:pStyle w:val="berschrift2"/>
      </w:pPr>
      <w:r>
        <w:t xml:space="preserve">Figure 6</w:t>
      </w:r>
    </w:p>
    <w:bookmarkEnd w:id="203"/>
    <w:bookmarkStart w:id="205"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4"/>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5"/>
    <w:bookmarkStart w:id="206" w:name="figure-7"/>
    <w:p>
      <w:pPr>
        <w:pStyle w:val="berschrift2"/>
      </w:pPr>
      <w:r>
        <w:t xml:space="preserve">Figure 7</w:t>
      </w:r>
    </w:p>
    <w:bookmarkEnd w:id="206"/>
    <w:bookmarkStart w:id="208"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07"/>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08"/>
    <w:bookmarkStart w:id="209" w:name="figure-8"/>
    <w:p>
      <w:pPr>
        <w:pStyle w:val="berschrift2"/>
      </w:pPr>
      <w:r>
        <w:t xml:space="preserve">Figure 8</w:t>
      </w:r>
    </w:p>
    <w:bookmarkEnd w:id="209"/>
    <w:bookmarkStart w:id="211"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0"/>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1"/>
    <w:bookmarkStart w:id="212" w:name="figure-9"/>
    <w:p>
      <w:pPr>
        <w:pStyle w:val="berschrift2"/>
      </w:pPr>
      <w:r>
        <w:t xml:space="preserve">Figure 9</w:t>
      </w:r>
    </w:p>
    <w:bookmarkEnd w:id="212"/>
    <w:bookmarkStart w:id="214"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3"/>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4"/>
    <w:bookmarkEnd w:id="21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80" Target="media/rId180.tiff" /><Relationship Type="http://schemas.openxmlformats.org/officeDocument/2006/relationships/image" Id="rId183" Target="media/rId183.tiff" /><Relationship Type="http://schemas.openxmlformats.org/officeDocument/2006/relationships/image" Id="rId186" Target="media/rId186.tiff" /><Relationship Type="http://schemas.openxmlformats.org/officeDocument/2006/relationships/image" Id="rId189" Target="media/rId189.tiff" /><Relationship Type="http://schemas.openxmlformats.org/officeDocument/2006/relationships/image" Id="rId192" Target="media/rId192.tiff" /><Relationship Type="http://schemas.openxmlformats.org/officeDocument/2006/relationships/image" Id="rId195" Target="media/rId195.tiff" /><Relationship Type="http://schemas.openxmlformats.org/officeDocument/2006/relationships/image" Id="rId198" Target="media/rId198.tiff" /><Relationship Type="http://schemas.openxmlformats.org/officeDocument/2006/relationships/image" Id="rId201" Target="media/rId201.tiff" /><Relationship Type="http://schemas.openxmlformats.org/officeDocument/2006/relationships/image" Id="rId204" Target="media/rId204.tiff" /><Relationship Type="http://schemas.openxmlformats.org/officeDocument/2006/relationships/image" Id="rId207" Target="media/rId207.tiff" /><Relationship Type="http://schemas.openxmlformats.org/officeDocument/2006/relationships/image" Id="rId210" Target="media/rId210.tiff" /><Relationship Type="http://schemas.openxmlformats.org/officeDocument/2006/relationships/image" Id="rId213" Target="media/rId213.tiff" /><Relationship Type="http://schemas.openxmlformats.org/officeDocument/2006/relationships/hyperlink" Id="rId113"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4" Target="https://CRAN.R-project.org/package=dplyr" TargetMode="External" /><Relationship Type="http://schemas.openxmlformats.org/officeDocument/2006/relationships/hyperlink" Id="rId158" Target="https://CRAN.R-project.org/package=forcats" TargetMode="External" /><Relationship Type="http://schemas.openxmlformats.org/officeDocument/2006/relationships/hyperlink" Id="rId105"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66" Target="https://CRAN.R-project.org/package=readr" TargetMode="External" /><Relationship Type="http://schemas.openxmlformats.org/officeDocument/2006/relationships/hyperlink" Id="rId152" Target="https://CRAN.R-project.org/package=rpact" TargetMode="External" /><Relationship Type="http://schemas.openxmlformats.org/officeDocument/2006/relationships/hyperlink" Id="rId156" Target="https://CRAN.R-project.org/package=stringr" TargetMode="External" /><Relationship Type="http://schemas.openxmlformats.org/officeDocument/2006/relationships/hyperlink" Id="rId115" Target="https://CRAN.R-project.org/package=tibble" TargetMode="External" /><Relationship Type="http://schemas.openxmlformats.org/officeDocument/2006/relationships/hyperlink" Id="rId160"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0" Target="https://doi.org/10.1007/978-3-319-32562-0" TargetMode="External" /><Relationship Type="http://schemas.openxmlformats.org/officeDocument/2006/relationships/hyperlink" Id="rId124"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1" Target="https://doi.org/10.1017/9781107286184" TargetMode="External" /><Relationship Type="http://schemas.openxmlformats.org/officeDocument/2006/relationships/hyperlink" Id="rId111" Target="https://doi.org/10.1037/a0024377" TargetMode="External" /><Relationship Type="http://schemas.openxmlformats.org/officeDocument/2006/relationships/hyperlink" Id="rId134" Target="https://doi.org/10.1037/met0000061" TargetMode="External" /><Relationship Type="http://schemas.openxmlformats.org/officeDocument/2006/relationships/hyperlink" Id="rId131" Target="https://doi.org/10.1037/met0000234" TargetMode="External" /><Relationship Type="http://schemas.openxmlformats.org/officeDocument/2006/relationships/hyperlink" Id="rId107"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7"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29" Target="https://doi.org/10.1111/tops.12214" TargetMode="External" /><Relationship Type="http://schemas.openxmlformats.org/officeDocument/2006/relationships/hyperlink" Id="rId117" Target="https://doi.org/10.1146/annurev-psych-122216-011836" TargetMode="External" /><Relationship Type="http://schemas.openxmlformats.org/officeDocument/2006/relationships/hyperlink" Id="rId103" Target="https://doi.org/10.1177/000276428102500205" TargetMode="External" /><Relationship Type="http://schemas.openxmlformats.org/officeDocument/2006/relationships/hyperlink" Id="rId138"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3"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5" Target="https://doi.org/10.1177/2515245918770963" TargetMode="External" /><Relationship Type="http://schemas.openxmlformats.org/officeDocument/2006/relationships/hyperlink" Id="rId144"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2" Target="https://doi.org/10.21105/joss.01686" TargetMode="External" /><Relationship Type="http://schemas.openxmlformats.org/officeDocument/2006/relationships/hyperlink" Id="rId122" Target="https://doi.org/10.2307/2335684" TargetMode="External" /><Relationship Type="http://schemas.openxmlformats.org/officeDocument/2006/relationships/hyperlink" Id="rId140"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6" Target="https://doi.org/10.3758/s13423-017-1230-y" TargetMode="External" /><Relationship Type="http://schemas.openxmlformats.org/officeDocument/2006/relationships/hyperlink" Id="rId147" Target="https://doi.org/10.3758/s13423-017-1343-3" TargetMode="External" /><Relationship Type="http://schemas.openxmlformats.org/officeDocument/2006/relationships/hyperlink" Id="rId142" Target="https://doi.org/10.3758/s13423-020-01798-5" TargetMode="External" /><Relationship Type="http://schemas.openxmlformats.org/officeDocument/2006/relationships/hyperlink" Id="rId109"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4"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0" Target="https://journal.r-project.org/archive/" TargetMode="External" /><Relationship Type="http://schemas.openxmlformats.org/officeDocument/2006/relationships/hyperlink" Id="rId127" Target="https://www.R-project.org/" TargetMode="External" /><Relationship Type="http://schemas.openxmlformats.org/officeDocument/2006/relationships/hyperlink" Id="rId20" Target="mailto:shilaan@stanford.edu" TargetMode="External" /></Relationships>
</file>

<file path=word/_rels/footnotes.xml.rels><?xml version="1.0" encoding="UTF-8"?><Relationships xmlns="http://schemas.openxmlformats.org/package/2006/relationships"><Relationship Type="http://schemas.openxmlformats.org/officeDocument/2006/relationships/hyperlink" Id="rId113"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4" Target="https://CRAN.R-project.org/package=dplyr" TargetMode="External" /><Relationship Type="http://schemas.openxmlformats.org/officeDocument/2006/relationships/hyperlink" Id="rId158" Target="https://CRAN.R-project.org/package=forcats" TargetMode="External" /><Relationship Type="http://schemas.openxmlformats.org/officeDocument/2006/relationships/hyperlink" Id="rId105"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66" Target="https://CRAN.R-project.org/package=readr" TargetMode="External" /><Relationship Type="http://schemas.openxmlformats.org/officeDocument/2006/relationships/hyperlink" Id="rId152" Target="https://CRAN.R-project.org/package=rpact" TargetMode="External" /><Relationship Type="http://schemas.openxmlformats.org/officeDocument/2006/relationships/hyperlink" Id="rId156" Target="https://CRAN.R-project.org/package=stringr" TargetMode="External" /><Relationship Type="http://schemas.openxmlformats.org/officeDocument/2006/relationships/hyperlink" Id="rId115" Target="https://CRAN.R-project.org/package=tibble" TargetMode="External" /><Relationship Type="http://schemas.openxmlformats.org/officeDocument/2006/relationships/hyperlink" Id="rId160"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0" Target="https://doi.org/10.1007/978-3-319-32562-0" TargetMode="External" /><Relationship Type="http://schemas.openxmlformats.org/officeDocument/2006/relationships/hyperlink" Id="rId124"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1" Target="https://doi.org/10.1017/9781107286184" TargetMode="External" /><Relationship Type="http://schemas.openxmlformats.org/officeDocument/2006/relationships/hyperlink" Id="rId111" Target="https://doi.org/10.1037/a0024377" TargetMode="External" /><Relationship Type="http://schemas.openxmlformats.org/officeDocument/2006/relationships/hyperlink" Id="rId134" Target="https://doi.org/10.1037/met0000061" TargetMode="External" /><Relationship Type="http://schemas.openxmlformats.org/officeDocument/2006/relationships/hyperlink" Id="rId131" Target="https://doi.org/10.1037/met0000234" TargetMode="External" /><Relationship Type="http://schemas.openxmlformats.org/officeDocument/2006/relationships/hyperlink" Id="rId107"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7"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29" Target="https://doi.org/10.1111/tops.12214" TargetMode="External" /><Relationship Type="http://schemas.openxmlformats.org/officeDocument/2006/relationships/hyperlink" Id="rId117" Target="https://doi.org/10.1146/annurev-psych-122216-011836" TargetMode="External" /><Relationship Type="http://schemas.openxmlformats.org/officeDocument/2006/relationships/hyperlink" Id="rId103" Target="https://doi.org/10.1177/000276428102500205" TargetMode="External" /><Relationship Type="http://schemas.openxmlformats.org/officeDocument/2006/relationships/hyperlink" Id="rId138"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3"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5" Target="https://doi.org/10.1177/2515245918770963" TargetMode="External" /><Relationship Type="http://schemas.openxmlformats.org/officeDocument/2006/relationships/hyperlink" Id="rId144"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2" Target="https://doi.org/10.21105/joss.01686" TargetMode="External" /><Relationship Type="http://schemas.openxmlformats.org/officeDocument/2006/relationships/hyperlink" Id="rId122" Target="https://doi.org/10.2307/2335684" TargetMode="External" /><Relationship Type="http://schemas.openxmlformats.org/officeDocument/2006/relationships/hyperlink" Id="rId140"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6" Target="https://doi.org/10.3758/s13423-017-1230-y" TargetMode="External" /><Relationship Type="http://schemas.openxmlformats.org/officeDocument/2006/relationships/hyperlink" Id="rId147" Target="https://doi.org/10.3758/s13423-017-1343-3" TargetMode="External" /><Relationship Type="http://schemas.openxmlformats.org/officeDocument/2006/relationships/hyperlink" Id="rId142" Target="https://doi.org/10.3758/s13423-020-01798-5" TargetMode="External" /><Relationship Type="http://schemas.openxmlformats.org/officeDocument/2006/relationships/hyperlink" Id="rId109"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4"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0" Target="https://journal.r-project.org/archive/" TargetMode="External" /><Relationship Type="http://schemas.openxmlformats.org/officeDocument/2006/relationships/hyperlink" Id="rId127"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dc:title>
  <dc:creator/>
  <cp:keywords/>
  <dcterms:created xsi:type="dcterms:W3CDTF">2021-11-05T16:08:40Z</dcterms:created>
  <dcterms:modified xsi:type="dcterms:W3CDTF">2021-11-05T16:08:40Z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/Library/Frameworks/R.framework/Versions/4.1/Resources/library/papaja/rmd/apa6.csl</vt:lpwstr>
  </property>
  <property fmtid="{D5CDD505-2E9C-101B-9397-08002B2CF9AE}" pid="7" name="documentclass">
    <vt:lpwstr>apa7</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