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color w:val="007364"/>
          <w:sz w:val="16"/>
        </w:rPr>
        <w:t>PHARMVILLE  /  PHASE 1</w:t>
      </w:r>
    </w:p>
    <w:p>
      <w:pPr>
        <w:pStyle w:val="Normal"/>
        <w:spacing w:before="0" w:after="40"/>
        <w:rPr/>
      </w:pPr>
      <w:r>
        <w:rPr>
          <w:rFonts w:ascii="Aptos Display" w:hAnsi="Aptos Display"/>
          <w:b/>
          <w:color w:val="1C2E33"/>
          <w:sz w:val="34"/>
        </w:rPr>
        <w:t>Customer Flow &amp; Medicine Mapping</w:t>
      </w:r>
    </w:p>
    <w:p>
      <w:pPr>
        <w:pStyle w:val="Normal"/>
        <w:spacing w:before="0" w:after="140"/>
        <w:rPr/>
      </w:pPr>
      <w:r>
        <w:rPr>
          <w:color w:val="58686D"/>
          <w:sz w:val="16"/>
        </w:rPr>
        <w:t>Short stakeholder brief  •  One mixed cart  •  Product-level rules  •  One delivery (proposed)</w:t>
      </w:r>
    </w:p>
    <w:p>
      <w:pPr>
        <w:pStyle w:val="SectionShort"/>
        <w:rPr/>
      </w:pPr>
      <w:r>
        <w:rPr/>
        <w:t>1   Medicine types in the catalogue</w:t>
      </w:r>
    </w:p>
    <w:tbl>
      <w:tblPr>
        <w:tblW w:w="9835" w:type="dxa"/>
        <w:jc w:val="center"/>
        <w:tblInd w:w="0" w:type="dxa"/>
        <w:tblLayout w:type="fixed"/>
        <w:tblCellMar>
          <w:top w:w="76" w:type="dxa"/>
          <w:start w:w="95" w:type="dxa"/>
          <w:bottom w:w="70" w:type="dxa"/>
          <w:end w:w="95" w:type="dxa"/>
        </w:tblCellMar>
        <w:tblLook w:noHBand="0" w:noVBand="1" w:firstColumn="1" w:lastRow="0" w:lastColumn="0" w:firstRow="1" w:val="04a0"/>
      </w:tblPr>
      <w:tblGrid>
        <w:gridCol w:w="4917"/>
        <w:gridCol w:w="4918"/>
      </w:tblGrid>
      <w:tr>
        <w:trPr/>
        <w:tc>
          <w:tcPr>
            <w:tcW w:w="4917" w:type="dxa"/>
            <w:tcBorders>
              <w:bottom w:val="single" w:sz="4" w:space="0" w:color="D5E4E0"/>
            </w:tcBorders>
            <w:shd w:fill="F2F8F6" w:val="clear"/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/>
                <w:color w:val="1C2E33"/>
                <w:sz w:val="16"/>
              </w:rPr>
              <w:t>Rx (prescription)</w:t>
            </w:r>
          </w:p>
        </w:tc>
        <w:tc>
          <w:tcPr>
            <w:tcW w:w="4918" w:type="dxa"/>
            <w:tcBorders>
              <w:bottom w:val="single" w:sz="4" w:space="0" w:color="D5E4E0"/>
            </w:tcBorders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 w:val="false"/>
                <w:color w:val="1C2E33"/>
                <w:sz w:val="16"/>
              </w:rPr>
              <w:t>Requires valid prescription linked to patient → pharmacist review → only approved items fulfilled.</w:t>
            </w:r>
          </w:p>
        </w:tc>
      </w:tr>
      <w:tr>
        <w:trPr/>
        <w:tc>
          <w:tcPr>
            <w:tcW w:w="4917" w:type="dxa"/>
            <w:tcBorders>
              <w:bottom w:val="single" w:sz="4" w:space="0" w:color="D5E4E0"/>
            </w:tcBorders>
            <w:shd w:fill="F2F8F6" w:val="clear"/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/>
                <w:color w:val="1C2E33"/>
                <w:sz w:val="16"/>
              </w:rPr>
              <w:t>OTC / non-Rx</w:t>
            </w:r>
          </w:p>
        </w:tc>
        <w:tc>
          <w:tcPr>
            <w:tcW w:w="4918" w:type="dxa"/>
            <w:tcBorders>
              <w:bottom w:val="single" w:sz="4" w:space="0" w:color="D5E4E0"/>
            </w:tcBorders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 w:val="false"/>
                <w:color w:val="1C2E33"/>
                <w:sz w:val="16"/>
              </w:rPr>
              <w:t>May be purchased without uploading Rx ONLY when its product classification permits; no Rx review.</w:t>
            </w:r>
          </w:p>
        </w:tc>
      </w:tr>
      <w:tr>
        <w:trPr/>
        <w:tc>
          <w:tcPr>
            <w:tcW w:w="4917" w:type="dxa"/>
            <w:tcBorders>
              <w:bottom w:val="single" w:sz="4" w:space="0" w:color="D5E4E0"/>
            </w:tcBorders>
            <w:shd w:fill="F2F8F6" w:val="clear"/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/>
                <w:color w:val="1C2E33"/>
                <w:sz w:val="16"/>
              </w:rPr>
              <w:t>OTM* / non-drug</w:t>
            </w:r>
          </w:p>
        </w:tc>
        <w:tc>
          <w:tcPr>
            <w:tcW w:w="4918" w:type="dxa"/>
            <w:tcBorders>
              <w:bottom w:val="single" w:sz="4" w:space="0" w:color="D5E4E0"/>
            </w:tcBorders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 w:val="false"/>
                <w:color w:val="1C2E33"/>
                <w:sz w:val="16"/>
              </w:rPr>
              <w:t>Assumed “Other Than Medicine”: personal care / wellness / devices; no medicine-equivalence mapping. Regulated items need their own checks.</w:t>
            </w:r>
          </w:p>
        </w:tc>
      </w:tr>
    </w:tbl>
    <w:p>
      <w:pPr>
        <w:pStyle w:val="Normal"/>
        <w:spacing w:before="0" w:after="40"/>
        <w:rPr/>
      </w:pPr>
      <w:r>
        <w:rPr>
          <w:sz w:val="15"/>
        </w:rPr>
        <w:t>* OTM is a working internal label, not a verified regulatory category; confirm intended meaning with the client.</w:t>
      </w:r>
    </w:p>
    <w:p>
      <w:pPr>
        <w:pStyle w:val="SectionShort"/>
        <w:rPr/>
      </w:pPr>
      <w:r>
        <w:rPr/>
        <w:t>2   One customer order: Rx + non-Rx + OTM</w:t>
      </w:r>
    </w:p>
    <w:p>
      <w:pPr>
        <w:pStyle w:val="Normal"/>
        <w:rPr/>
      </w:pPr>
      <w:r>
        <w:rPr/>
        <w:t>Select PIN → Browse → Add any product types → Login → Address + patient → Checkout.</w:t>
      </w:r>
    </w:p>
    <w:p>
      <w:pPr>
        <w:pStyle w:val="Normal"/>
        <w:rPr/>
      </w:pPr>
      <w:r>
        <w:rPr>
          <w:b/>
          <w:color w:val="1C2E33"/>
        </w:rPr>
        <w:t xml:space="preserve">Rx lines  </w:t>
      </w:r>
      <w:r>
        <w:rPr/>
        <w:t>→ Upload prescription per patient → Pharmacist approves / partly approves / rejects Rx items.</w:t>
      </w:r>
    </w:p>
    <w:p>
      <w:pPr>
        <w:pStyle w:val="Normal"/>
        <w:rPr/>
      </w:pPr>
      <w:r>
        <w:rPr>
          <w:b/>
          <w:color w:val="1C2E33"/>
        </w:rPr>
        <w:t xml:space="preserve">Non-Rx / OTM  </w:t>
      </w:r>
      <w:r>
        <w:rPr/>
        <w:t>→ No prescription review; remain eligible while Rx items are reviewed.</w:t>
      </w:r>
    </w:p>
    <w:p>
      <w:pPr>
        <w:pStyle w:val="Normal"/>
        <w:rPr/>
      </w:pPr>
      <w:r>
        <w:rPr>
          <w:b/>
          <w:color w:val="1C2E33"/>
        </w:rPr>
        <w:t xml:space="preserve">Rejoin  </w:t>
      </w:r>
      <w:r>
        <w:rPr/>
        <w:t>→ Show final eligible items and revised amount → Customer confirms → Online pay / COD → Reserve stock → Pack together → Deliver with OTP.</w:t>
      </w:r>
    </w:p>
    <w:p>
      <w:pPr>
        <w:pStyle w:val="Normal"/>
        <w:rPr/>
      </w:pPr>
      <w:r>
        <w:rPr>
          <w:b/>
          <w:color w:val="1C2E33"/>
        </w:rPr>
        <w:t xml:space="preserve">If Rx rejected  </w:t>
      </w:r>
      <w:r>
        <w:rPr/>
        <w:t>→ Request re-upload within approved window; otherwise remove affected items, continue with remainder or cancel.</w:t>
      </w:r>
    </w:p>
    <w:p>
      <w:pPr>
        <w:pStyle w:val="SectionShort"/>
        <w:rPr/>
      </w:pPr>
      <w:r>
        <w:rPr/>
        <w:t>3   Alternative medicine journey</w:t>
      </w:r>
    </w:p>
    <w:p>
      <w:pPr>
        <w:pStyle w:val="Normal"/>
        <w:rPr/>
      </w:pPr>
      <w:r>
        <w:rPr/>
        <w:t>Out of stock → Check other eligible locations / warehouse → Show equivalent candidates only when enabled.</w:t>
      </w:r>
    </w:p>
    <w:p>
      <w:pPr>
        <w:pStyle w:val="Normal"/>
        <w:rPr/>
      </w:pPr>
      <w:r>
        <w:rPr/>
        <w:t>Customer selects → Pharmacist checks Rx substitution and required authorization → Customer confirms price / brand → Update order.</w:t>
      </w:r>
    </w:p>
    <w:p>
      <w:pPr>
        <w:pStyle w:val="Normal"/>
        <w:rPr/>
      </w:pPr>
      <w:r>
        <w:rPr/>
        <w:t>No valid alternative → Show unavailable; do not auto-replace. OTM items use normal related-product suggestions only.</w:t>
      </w:r>
    </w:p>
    <w:p>
      <w:pPr>
        <w:pStyle w:val="SectionShort"/>
        <w:rPr/>
      </w:pPr>
      <w:r>
        <w:rPr/>
        <w:t>4   Payments, refunds &amp; delivery exceptions</w:t>
      </w:r>
    </w:p>
    <w:p>
      <w:pPr>
        <w:pStyle w:val="Normal"/>
        <w:rPr/>
      </w:pPr>
      <w:r>
        <w:rPr>
          <w:b/>
          <w:color w:val="1C2E33"/>
        </w:rPr>
        <w:t xml:space="preserve">Online  </w:t>
      </w:r>
      <w:r>
        <w:rPr/>
        <w:t>Cashfree → Verified success = paid; pending = reconcile; failed = retry safely. Prevent double charges.</w:t>
      </w:r>
    </w:p>
    <w:p>
      <w:pPr>
        <w:pStyle w:val="Normal"/>
        <w:rPr/>
      </w:pPr>
      <w:r>
        <w:rPr>
          <w:b/>
          <w:color w:val="1C2E33"/>
        </w:rPr>
        <w:t xml:space="preserve">Changed items  </w:t>
      </w:r>
      <w:r>
        <w:rPr/>
        <w:t>Before payment → charge final amount. Already paid → full/partial refund or separate extra payment only with consent.</w:t>
      </w:r>
    </w:p>
    <w:p>
      <w:pPr>
        <w:pStyle w:val="Normal"/>
        <w:rPr/>
      </w:pPr>
      <w:r>
        <w:rPr>
          <w:b/>
          <w:color w:val="1C2E33"/>
        </w:rPr>
        <w:t xml:space="preserve">COD  </w:t>
      </w:r>
      <w:r>
        <w:rPr/>
        <w:t>COD limit check → collect on delivery; cancelled before collection = no refund. Handle cash reconciliation.</w:t>
      </w:r>
    </w:p>
    <w:p>
      <w:pPr>
        <w:pStyle w:val="Normal"/>
        <w:rPr/>
      </w:pPr>
      <w:r>
        <w:rPr>
          <w:b/>
          <w:color w:val="1C2E33"/>
        </w:rPr>
        <w:t xml:space="preserve">After order  </w:t>
      </w:r>
      <w:r>
        <w:rPr/>
        <w:t>Cancel before packing → refund prepaid / release stock. Failed delivery → reattempt / return. Eligible return → inspect / refund.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40"/>
        <w:rPr/>
      </w:pPr>
      <w:r>
        <w:rPr>
          <w:b/>
          <w:color w:val="007364"/>
          <w:sz w:val="16"/>
        </w:rPr>
        <w:t>PHARMVILLE  /  IMPLEMENTATION NOTES</w:t>
      </w:r>
    </w:p>
    <w:p>
      <w:pPr>
        <w:pStyle w:val="Normal"/>
        <w:spacing w:before="0" w:after="120"/>
        <w:rPr/>
      </w:pPr>
      <w:r>
        <w:rPr>
          <w:rFonts w:ascii="Aptos Display" w:hAnsi="Aptos Display"/>
          <w:b/>
          <w:color w:val="1C2E33"/>
          <w:sz w:val="32"/>
        </w:rPr>
        <w:t>How alternative medicines are mapped</w:t>
      </w:r>
    </w:p>
    <w:p>
      <w:pPr>
        <w:pStyle w:val="SectionShort"/>
        <w:rPr/>
      </w:pPr>
      <w:r>
        <w:rPr/>
        <w:t>5   Build equivalent candidates from formulations, not brand names</w:t>
      </w:r>
    </w:p>
    <w:p>
      <w:pPr>
        <w:pStyle w:val="Normal"/>
        <w:rPr/>
      </w:pPr>
      <w:r>
        <w:rPr/>
        <w:t>Product A → formulation ID ← Product B. Different brands can share a formulation; keep pack size and price at SKU level.</w:t>
      </w:r>
    </w:p>
    <w:p>
      <w:pPr>
        <w:pStyle w:val="Normal"/>
        <w:rPr/>
      </w:pPr>
      <w:r>
        <w:rPr>
          <w:b/>
          <w:color w:val="1C2E33"/>
        </w:rPr>
        <w:t xml:space="preserve">Required match  </w:t>
      </w:r>
      <w:r>
        <w:rPr/>
        <w:t>Exact active ingredient set (including combinations) + normalized strength per dose + dosage form + route + release type.</w:t>
      </w:r>
    </w:p>
    <w:p>
      <w:pPr>
        <w:pStyle w:val="Normal"/>
        <w:rPr/>
      </w:pPr>
      <w:r>
        <w:rPr>
          <w:b/>
          <w:color w:val="1C2E33"/>
        </w:rPr>
        <w:t xml:space="preserve">Safety checks  </w:t>
      </w:r>
      <w:r>
        <w:rPr/>
        <w:t>Then check exclusions / controlled category / patient suitability, stock, pack quantities and applicable prescriber authorization.</w:t>
      </w:r>
    </w:p>
    <w:p>
      <w:pPr>
        <w:pStyle w:val="Normal"/>
        <w:rPr/>
      </w:pPr>
      <w:r>
        <w:rPr>
          <w:b/>
          <w:color w:val="1C2E33"/>
        </w:rPr>
        <w:t xml:space="preserve">Example  </w:t>
      </w:r>
      <w:r>
        <w:rPr/>
        <w:t>Paracetamol 500 mg immediate-release tablet vs another brand 500 mg immediate-release tablet: candidate only. 650 mg or sustained-release: NOT the same match.</w:t>
      </w:r>
    </w:p>
    <w:p>
      <w:pPr>
        <w:pStyle w:val="Normal"/>
        <w:rPr/>
      </w:pPr>
      <w:r>
        <w:rPr>
          <w:b/>
          <w:color w:val="1C2E33"/>
        </w:rPr>
        <w:t xml:space="preserve">Rule  </w:t>
      </w:r>
      <w:r>
        <w:rPr/>
        <w:t>A matching formula suggests a candidate, not a clinically approved substitution. Rx changes need pharmacist assessment and legally required authorization.</w:t>
      </w:r>
    </w:p>
    <w:p>
      <w:pPr>
        <w:pStyle w:val="SectionShort"/>
        <w:rPr/>
      </w:pPr>
      <w:r>
        <w:rPr/>
        <w:t>6   Minimum fields to store</w:t>
      </w:r>
    </w:p>
    <w:tbl>
      <w:tblPr>
        <w:tblW w:w="9835" w:type="dxa"/>
        <w:jc w:val="center"/>
        <w:tblInd w:w="0" w:type="dxa"/>
        <w:tblLayout w:type="fixed"/>
        <w:tblCellMar>
          <w:top w:w="76" w:type="dxa"/>
          <w:start w:w="95" w:type="dxa"/>
          <w:bottom w:w="70" w:type="dxa"/>
          <w:end w:w="95" w:type="dxa"/>
        </w:tblCellMar>
        <w:tblLook w:noHBand="0" w:noVBand="1" w:firstColumn="1" w:lastRow="0" w:lastColumn="0" w:firstRow="1" w:val="04a0"/>
      </w:tblPr>
      <w:tblGrid>
        <w:gridCol w:w="4917"/>
        <w:gridCol w:w="4918"/>
      </w:tblGrid>
      <w:tr>
        <w:trPr/>
        <w:tc>
          <w:tcPr>
            <w:tcW w:w="4917" w:type="dxa"/>
            <w:tcBorders>
              <w:bottom w:val="single" w:sz="4" w:space="0" w:color="D5E4E0"/>
            </w:tcBorders>
            <w:shd w:fill="F2F8F6" w:val="clear"/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/>
                <w:color w:val="1C2E33"/>
                <w:sz w:val="16"/>
              </w:rPr>
              <w:t>Product / SKU</w:t>
            </w:r>
          </w:p>
        </w:tc>
        <w:tc>
          <w:tcPr>
            <w:tcW w:w="4918" w:type="dxa"/>
            <w:tcBorders>
              <w:bottom w:val="single" w:sz="4" w:space="0" w:color="D5E4E0"/>
            </w:tcBorders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 w:val="false"/>
                <w:color w:val="1C2E33"/>
                <w:sz w:val="16"/>
              </w:rPr>
              <w:t>product_id, brand, manufacturer, product_type [Rx/non-Rx/OTM], rx_required, schedule, formulation_id, pack_size, price</w:t>
            </w:r>
          </w:p>
        </w:tc>
      </w:tr>
      <w:tr>
        <w:trPr/>
        <w:tc>
          <w:tcPr>
            <w:tcW w:w="4917" w:type="dxa"/>
            <w:tcBorders>
              <w:bottom w:val="single" w:sz="4" w:space="0" w:color="D5E4E0"/>
            </w:tcBorders>
            <w:shd w:fill="F2F8F6" w:val="clear"/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/>
                <w:color w:val="1C2E33"/>
                <w:sz w:val="16"/>
              </w:rPr>
              <w:t>Formulation</w:t>
            </w:r>
          </w:p>
        </w:tc>
        <w:tc>
          <w:tcPr>
            <w:tcW w:w="4918" w:type="dxa"/>
            <w:tcBorders>
              <w:bottom w:val="single" w:sz="4" w:space="0" w:color="D5E4E0"/>
            </w:tcBorders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 w:val="false"/>
                <w:color w:val="1C2E33"/>
                <w:sz w:val="16"/>
              </w:rPr>
              <w:t>formulation_id, dosage_form, route, release_type, verified_status</w:t>
            </w:r>
          </w:p>
        </w:tc>
      </w:tr>
      <w:tr>
        <w:trPr/>
        <w:tc>
          <w:tcPr>
            <w:tcW w:w="4917" w:type="dxa"/>
            <w:tcBorders>
              <w:bottom w:val="single" w:sz="4" w:space="0" w:color="D5E4E0"/>
            </w:tcBorders>
            <w:shd w:fill="F2F8F6" w:val="clear"/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/>
                <w:color w:val="1C2E33"/>
                <w:sz w:val="16"/>
              </w:rPr>
              <w:t>Ingredients</w:t>
            </w:r>
          </w:p>
        </w:tc>
        <w:tc>
          <w:tcPr>
            <w:tcW w:w="4918" w:type="dxa"/>
            <w:tcBorders>
              <w:bottom w:val="single" w:sz="4" w:space="0" w:color="D5E4E0"/>
            </w:tcBorders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 w:val="false"/>
                <w:color w:val="1C2E33"/>
                <w:sz w:val="16"/>
              </w:rPr>
              <w:t>ingredient_id, canonical name/salt; formulation_ingredients [ingredient_id, strength_value, strength_unit, basis]</w:t>
            </w:r>
          </w:p>
        </w:tc>
      </w:tr>
      <w:tr>
        <w:trPr/>
        <w:tc>
          <w:tcPr>
            <w:tcW w:w="4917" w:type="dxa"/>
            <w:tcBorders>
              <w:bottom w:val="single" w:sz="4" w:space="0" w:color="D5E4E0"/>
            </w:tcBorders>
            <w:shd w:fill="F2F8F6" w:val="clear"/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/>
                <w:color w:val="1C2E33"/>
                <w:sz w:val="16"/>
              </w:rPr>
              <w:t>Matching rules</w:t>
            </w:r>
          </w:p>
        </w:tc>
        <w:tc>
          <w:tcPr>
            <w:tcW w:w="4918" w:type="dxa"/>
            <w:tcBorders>
              <w:bottom w:val="single" w:sz="4" w:space="0" w:color="D5E4E0"/>
            </w:tcBorders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 w:val="false"/>
                <w:color w:val="1C2E33"/>
                <w:sz w:val="16"/>
              </w:rPr>
              <w:t>formulation pair / match key, exclusions, eligible flag, rule_version, verified_by; never match on brand alone</w:t>
            </w:r>
          </w:p>
        </w:tc>
      </w:tr>
      <w:tr>
        <w:trPr/>
        <w:tc>
          <w:tcPr>
            <w:tcW w:w="4917" w:type="dxa"/>
            <w:tcBorders>
              <w:bottom w:val="single" w:sz="4" w:space="0" w:color="D5E4E0"/>
            </w:tcBorders>
            <w:shd w:fill="F2F8F6" w:val="clear"/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/>
                <w:color w:val="1C2E33"/>
                <w:sz w:val="16"/>
              </w:rPr>
              <w:t>Order &amp; review</w:t>
            </w:r>
          </w:p>
        </w:tc>
        <w:tc>
          <w:tcPr>
            <w:tcW w:w="4918" w:type="dxa"/>
            <w:tcBorders>
              <w:bottom w:val="single" w:sz="4" w:space="0" w:color="D5E4E0"/>
            </w:tcBorders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 w:val="false"/>
                <w:color w:val="1C2E33"/>
                <w:sz w:val="16"/>
              </w:rPr>
              <w:t>order_item_id, patient_id, prescription_id, item_review_status, reviewed_by, original_sku, replacement_sku, customer_consent</w:t>
            </w:r>
          </w:p>
        </w:tc>
      </w:tr>
      <w:tr>
        <w:trPr/>
        <w:tc>
          <w:tcPr>
            <w:tcW w:w="4917" w:type="dxa"/>
            <w:tcBorders>
              <w:bottom w:val="single" w:sz="4" w:space="0" w:color="D5E4E0"/>
            </w:tcBorders>
            <w:shd w:fill="F2F8F6" w:val="clear"/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/>
                <w:color w:val="1C2E33"/>
                <w:sz w:val="16"/>
              </w:rPr>
              <w:t>Money &amp; stock</w:t>
            </w:r>
          </w:p>
        </w:tc>
        <w:tc>
          <w:tcPr>
            <w:tcW w:w="4918" w:type="dxa"/>
            <w:tcBorders>
              <w:bottom w:val="single" w:sz="4" w:space="0" w:color="D5E4E0"/>
            </w:tcBorders>
            <w:vAlign w:val="center"/>
          </w:tcPr>
          <w:p>
            <w:pPr>
              <w:pStyle w:val="Normal"/>
              <w:spacing w:before="6" w:after="6"/>
              <w:rPr/>
            </w:pPr>
            <w:r>
              <w:rPr>
                <w:b w:val="false"/>
                <w:color w:val="1C2E33"/>
                <w:sz w:val="16"/>
              </w:rPr>
              <w:t>payment_attempt_id, gateway reference, idempotency key, refund record, inventory by location/batch, reservation</w:t>
            </w:r>
          </w:p>
        </w:tc>
      </w:tr>
    </w:tbl>
    <w:p>
      <w:pPr>
        <w:pStyle w:val="SectionShort"/>
        <w:spacing w:before="180" w:after="62"/>
        <w:rPr>
          <w:color w:val="58686D"/>
          <w:sz w:val="14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37" w:right="1037" w:gutter="0" w:header="0" w:top="936" w:footer="432" w:bottom="80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58686D"/>
        <w:sz w:val="14"/>
      </w:rPr>
      <w:t>PHARMVILLE  •  DRAFT FOR REVIEW  •  Proposed flows require approval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58686D"/>
        <w:sz w:val="14"/>
      </w:rPr>
      <w:t>PHARMVILLE  •  DRAFT FOR REVIEW  •  Proposed flows require approval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1" w:before="0" w:after="48"/>
      <w:jc w:val="start"/>
    </w:pPr>
    <w:rPr>
      <w:rFonts w:ascii="Aptos" w:hAnsi="Aptos" w:eastAsia="ＭＳ 明朝" w:cs=""/>
      <w:color w:val="1C2E33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8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8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8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8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8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8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8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8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8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8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ectionShort" w:customStyle="1">
    <w:name w:val="Section Short"/>
    <w:basedOn w:val="Normal"/>
    <w:qFormat/>
    <w:pPr>
      <w:spacing w:before="180" w:after="62"/>
    </w:pPr>
    <w:rPr>
      <w:rFonts w:ascii="Aptos" w:hAnsi="Aptos"/>
      <w:b/>
      <w:color w:val="007364"/>
      <w:sz w:val="21"/>
    </w:rPr>
  </w:style>
  <w:style w:type="paragraph" w:styleId="SmallGreen" w:customStyle="1">
    <w:name w:val="Small Green"/>
    <w:basedOn w:val="Normal"/>
    <w:qFormat/>
    <w:pPr>
      <w:spacing w:before="60" w:after="40"/>
    </w:pPr>
    <w:rPr>
      <w:rFonts w:ascii="Aptos" w:hAnsi="Aptos"/>
      <w:b/>
      <w:color w:val="007364"/>
      <w:sz w:val="17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LibreOffice/26.2.6.3$Linux_X86_64 LibreOffice_project/620$Build-3</Application>
  <AppVersion>15.0000</AppVersion>
  <Pages>2</Pages>
  <Words>552</Words>
  <Characters>3312</Characters>
  <CharactersWithSpaces>3854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Pharmville project team</dc:creator>
  <dc:description>generated by python-docx</dc:description>
  <dc:language>en-IN</dc:language>
  <cp:lastModifiedBy/>
  <dcterms:modified xsi:type="dcterms:W3CDTF">2026-10-11T16:57:49Z</dcterms:modified>
  <cp:revision>2</cp:revision>
  <dc:subject>Mixed Rx, non-Rx and other-than-medicine flows; mapping, payments, refunds and database requirements</dc:subject>
  <dc:title>Pharmville — Customer Flow &amp; Medicine Mapping v2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