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Logistics Compliance Intelligence Platform - Market &amp; Business Case v2</w:t>
      </w:r>
    </w:p>
    <w:p>
      <w:r>
        <w:rPr>
          <w:b/>
          <w:color w:val="15877E"/>
          <w:sz w:val="28"/>
        </w:rPr>
        <w:t>Updated to incorporate compliance automation learnings without using shorthand clone positioning</w:t>
      </w:r>
    </w:p>
    <w:p>
      <w:r>
        <w:t>Updated 18 August 2026 | Positioning: transport-native continuous assurance and audit readiness</w:t>
      </w:r>
    </w:p>
    <w:p>
      <w:pPr>
        <w:pStyle w:val="Heading1"/>
      </w:pPr>
      <w:r>
        <w:t>1. Executive summary</w:t>
      </w:r>
    </w:p>
    <w:p>
      <w:r>
        <w:t>This document updates the business concept and market case. The refined positioning is not a direct clone-style analogy. The correct category is transport-native continuous assurance: a platform that automates evidence collection, control monitoring, findings, remediation, audit readiness and supplier assurance across logistics operations.</w:t>
      </w:r>
    </w:p>
    <w:tbl>
      <w:tblPr>
        <w:tblW w:type="auto" w:w="0"/>
        <w:jc w:val="center"/>
        <w:tblLook w:firstColumn="1" w:firstRow="1" w:lastColumn="0" w:lastRow="0" w:noHBand="0" w:noVBand="1" w:val="04A0"/>
      </w:tblPr>
      <w:tblGrid>
        <w:gridCol w:w="10224"/>
      </w:tblGrid>
      <w:tr>
        <w:tc>
          <w:tcPr>
            <w:tcW w:type="dxa" w:w="10224"/>
            <w:shd w:fill="EAF4F4"/>
          </w:tcPr>
          <w:p>
            <w:r>
              <w:rPr>
                <w:b/>
                <w:color w:val="15877E"/>
                <w:sz w:val="22"/>
              </w:rPr>
              <w:t>Positioning decision</w:t>
            </w:r>
          </w:p>
          <w:p>
            <w:pPr>
              <w:spacing w:after="80"/>
            </w:pPr>
            <w:r>
              <w:t>Use modern compliance automation as a benchmark for product mechanics, but position the business as a logistics assurance automation platform. The product must understand physical transport operations, multi-party Chain of Responsibility relationships, and supplier assurance - not just generic risk registers or policy repositories.</w:t>
            </w:r>
          </w:p>
        </w:tc>
      </w:tr>
    </w:tbl>
    <w:p>
      <w:pPr>
        <w:pStyle w:val="Heading1"/>
      </w:pPr>
      <w:r>
        <w:t>2. Lessons adopted from modern compliance automation</w:t>
      </w:r>
    </w:p>
    <w:p>
      <w:pPr>
        <w:pStyle w:val="ListBullet"/>
      </w:pPr>
      <w:r>
        <w:t>Framework-to-control mapping: requirements are translated into reusable control objectives and tests.</w:t>
      </w:r>
    </w:p>
    <w:p>
      <w:pPr>
        <w:pStyle w:val="ListBullet"/>
      </w:pPr>
      <w:r>
        <w:t>Automated evidence collection: evidence is gathered from connected operational systems rather than screenshots and spreadsheets.</w:t>
      </w:r>
    </w:p>
    <w:p>
      <w:pPr>
        <w:pStyle w:val="ListBullet"/>
      </w:pPr>
      <w:r>
        <w:t>Continuous control monitoring: tests run repeatedly so control posture reflects current operations, not last quarter’s audit file.</w:t>
      </w:r>
    </w:p>
    <w:p>
      <w:pPr>
        <w:pStyle w:val="ListBullet"/>
      </w:pPr>
      <w:r>
        <w:t>Remediation workflow: failed controls create findings, owners, due dates, escalation and closure evidence.</w:t>
      </w:r>
    </w:p>
    <w:p>
      <w:pPr>
        <w:pStyle w:val="ListBullet"/>
      </w:pPr>
      <w:r>
        <w:t>Audit workspace: evidence is packaged into reviewable workpapers for auditors rather than collected manually at audit time.</w:t>
      </w:r>
    </w:p>
    <w:p>
      <w:pPr>
        <w:pStyle w:val="ListBullet"/>
      </w:pPr>
      <w:r>
        <w:t>Trust-sharing portal: selected assurance information can be shared with customers and partners under governed access control.</w:t>
      </w:r>
    </w:p>
    <w:p>
      <w:pPr>
        <w:pStyle w:val="ListBullet"/>
      </w:pPr>
      <w:r>
        <w:t>Shared control model: one evidence item can support multiple frameworks, customer obligations and assurance requests.</w:t>
      </w:r>
    </w:p>
    <w:p>
      <w:pPr>
        <w:pStyle w:val="ListBullet"/>
      </w:pPr>
      <w:r>
        <w:t>Integrations as a moat: speed and quality depend on integrations to systems where real evidence already lives.</w:t>
      </w:r>
    </w:p>
    <w:p>
      <w:r>
        <w:t>The proposed product adopts those mechanics but applies them to logistics evidence: journeys, drivers, work/rest records, vehicle events, load records, maintenance history, incidents, supplier records and customer delivery requirements.</w:t>
      </w:r>
    </w:p>
    <w:p>
      <w:pPr>
        <w:pStyle w:val="Heading1"/>
      </w:pPr>
      <w:r>
        <w:t>3. What is different in logistics</w:t>
      </w:r>
    </w:p>
    <w:tbl>
      <w:tblPr>
        <w:tblW w:type="auto" w:w="0"/>
        <w:jc w:val="center"/>
        <w:tblLook w:firstColumn="1" w:firstRow="1" w:lastColumn="0" w:lastRow="0" w:noHBand="0" w:noVBand="1" w:val="04A0"/>
      </w:tblPr>
      <w:tblGrid>
        <w:gridCol w:w="3408"/>
        <w:gridCol w:w="3408"/>
        <w:gridCol w:w="3408"/>
      </w:tblGrid>
      <w:tr>
        <w:tc>
          <w:tcPr>
            <w:tcW w:type="dxa" w:w="3408"/>
            <w:vAlign w:val="top"/>
            <w:shd w:fill="1F5A94"/>
          </w:tcPr>
          <w:p>
            <w:r>
              <w:rPr>
                <w:rFonts w:ascii="Aptos" w:hAnsi="Aptos"/>
                <w:b/>
                <w:color w:val="FFFFFF"/>
                <w:sz w:val="17"/>
              </w:rPr>
              <w:t>Dimension</w:t>
            </w:r>
          </w:p>
        </w:tc>
        <w:tc>
          <w:tcPr>
            <w:tcW w:type="dxa" w:w="3408"/>
            <w:vAlign w:val="top"/>
            <w:shd w:fill="1F5A94"/>
          </w:tcPr>
          <w:p>
            <w:r>
              <w:rPr>
                <w:rFonts w:ascii="Aptos" w:hAnsi="Aptos"/>
                <w:b/>
                <w:color w:val="FFFFFF"/>
                <w:sz w:val="17"/>
              </w:rPr>
              <w:t>Generic compliance automation pattern</w:t>
            </w:r>
          </w:p>
        </w:tc>
        <w:tc>
          <w:tcPr>
            <w:tcW w:type="dxa" w:w="3408"/>
            <w:vAlign w:val="top"/>
            <w:shd w:fill="1F5A94"/>
          </w:tcPr>
          <w:p>
            <w:r>
              <w:rPr>
                <w:rFonts w:ascii="Aptos" w:hAnsi="Aptos"/>
                <w:b/>
                <w:color w:val="FFFFFF"/>
                <w:sz w:val="17"/>
              </w:rPr>
              <w:t>Logistics assurance difference</w:t>
            </w:r>
          </w:p>
        </w:tc>
      </w:tr>
      <w:tr>
        <w:tc>
          <w:tcPr>
            <w:tcW w:type="dxa" w:w="3408"/>
          </w:tcPr>
          <w:p>
            <w:r>
              <w:t>Evidence type</w:t>
            </w:r>
          </w:p>
        </w:tc>
        <w:tc>
          <w:tcPr>
            <w:tcW w:type="dxa" w:w="3408"/>
          </w:tcPr>
          <w:p>
            <w:r>
              <w:t>Cloud configs, access controls, security policies, HR onboarding</w:t>
            </w:r>
          </w:p>
        </w:tc>
        <w:tc>
          <w:tcPr>
            <w:tcW w:type="dxa" w:w="3408"/>
          </w:tcPr>
          <w:p>
            <w:r>
              <w:t>Trips, EWD/work-rest, telematics, loads, maintenance, WMS, incidents, contractors and sites</w:t>
            </w:r>
          </w:p>
        </w:tc>
      </w:tr>
      <w:tr>
        <w:tc>
          <w:tcPr>
            <w:tcW w:type="dxa" w:w="3408"/>
          </w:tcPr>
          <w:p>
            <w:r>
              <w:t>Control objective</w:t>
            </w:r>
          </w:p>
        </w:tc>
        <w:tc>
          <w:tcPr>
            <w:tcW w:type="dxa" w:w="3408"/>
          </w:tcPr>
          <w:p>
            <w:r>
              <w:t>Prove security/privacy controls are in place and operating</w:t>
            </w:r>
          </w:p>
        </w:tc>
        <w:tc>
          <w:tcPr>
            <w:tcW w:type="dxa" w:w="3408"/>
          </w:tcPr>
          <w:p>
            <w:r>
              <w:t>Prove transport safety and logistics compliance controls are present, suitable, operating and effective</w:t>
            </w:r>
          </w:p>
        </w:tc>
      </w:tr>
      <w:tr>
        <w:tc>
          <w:tcPr>
            <w:tcW w:type="dxa" w:w="3408"/>
          </w:tcPr>
          <w:p>
            <w:r>
              <w:t>Stakeholders</w:t>
            </w:r>
          </w:p>
        </w:tc>
        <w:tc>
          <w:tcPr>
            <w:tcW w:type="dxa" w:w="3408"/>
          </w:tcPr>
          <w:p>
            <w:r>
              <w:t>Company, customer, auditor</w:t>
            </w:r>
          </w:p>
        </w:tc>
        <w:tc>
          <w:tcPr>
            <w:tcW w:type="dxa" w:w="3408"/>
          </w:tcPr>
          <w:p>
            <w:r>
              <w:t>Operator, 3PL, shipper, consignor, consignee, scheduler, loader/unloader, auditor and future regulator interfaces</w:t>
            </w:r>
          </w:p>
        </w:tc>
      </w:tr>
      <w:tr>
        <w:tc>
          <w:tcPr>
            <w:tcW w:type="dxa" w:w="3408"/>
          </w:tcPr>
          <w:p>
            <w:r>
              <w:t>Risk behaviour</w:t>
            </w:r>
          </w:p>
        </w:tc>
        <w:tc>
          <w:tcPr>
            <w:tcW w:type="dxa" w:w="3408"/>
          </w:tcPr>
          <w:p>
            <w:r>
              <w:t>Mostly digital and organisation-centric</w:t>
            </w:r>
          </w:p>
        </w:tc>
        <w:tc>
          <w:tcPr>
            <w:tcW w:type="dxa" w:w="3408"/>
          </w:tcPr>
          <w:p>
            <w:r>
              <w:t>Physical, route/site/time dependent and multi-party across outsourced supply chains</w:t>
            </w:r>
          </w:p>
        </w:tc>
      </w:tr>
      <w:tr>
        <w:tc>
          <w:tcPr>
            <w:tcW w:type="dxa" w:w="3408"/>
          </w:tcPr>
          <w:p>
            <w:r>
              <w:t>Trust-sharing</w:t>
            </w:r>
          </w:p>
        </w:tc>
        <w:tc>
          <w:tcPr>
            <w:tcW w:type="dxa" w:w="3408"/>
          </w:tcPr>
          <w:p>
            <w:r>
              <w:t>Security documentation / trust portal</w:t>
            </w:r>
          </w:p>
        </w:tc>
        <w:tc>
          <w:tcPr>
            <w:tcW w:type="dxa" w:w="3408"/>
          </w:tcPr>
          <w:p>
            <w:r>
              <w:t>Compliance Passport for transport providers with controlled evidence sharing to customers</w:t>
            </w:r>
          </w:p>
        </w:tc>
      </w:tr>
      <w:tr>
        <w:tc>
          <w:tcPr>
            <w:tcW w:type="dxa" w:w="3408"/>
          </w:tcPr>
          <w:p>
            <w:r>
              <w:t>Moat</w:t>
            </w:r>
          </w:p>
        </w:tc>
        <w:tc>
          <w:tcPr>
            <w:tcW w:type="dxa" w:w="3408"/>
          </w:tcPr>
          <w:p>
            <w:r>
              <w:t>Frameworks, integrations, evidence and workflow</w:t>
            </w:r>
          </w:p>
        </w:tc>
        <w:tc>
          <w:tcPr>
            <w:tcW w:type="dxa" w:w="3408"/>
          </w:tcPr>
          <w:p>
            <w:r>
              <w:t>Transport-specific control/evidence graph, CoR applicability, operational data reasoning and supplier network</w:t>
            </w:r>
          </w:p>
        </w:tc>
      </w:tr>
    </w:tbl>
    <w:p>
      <w:pPr>
        <w:pStyle w:val="Heading1"/>
      </w:pPr>
      <w:r>
        <w:t>4. Market thesis</w:t>
      </w:r>
    </w:p>
    <w:p>
      <w:r>
        <w:t>The market should be defined as the logistics assurance ecosystem, not simply “logistics companies”. The initial wedge is HVA/CoR continuous assurance for heavy-vehicle operators and their customers. The expansion opportunity is enterprise supplier assurance for organisations that outsource logistics and need confidence that their transport providers manage safety and compliance risk.</w:t>
      </w:r>
    </w:p>
    <w:p>
      <w:pPr>
        <w:pStyle w:val="ListBullet"/>
      </w:pPr>
      <w:r>
        <w:t>HVA is a voluntary accreditation framework for eligible operators; it should not be presented as universally mandatory.</w:t>
      </w:r>
    </w:p>
    <w:p>
      <w:pPr>
        <w:pStyle w:val="ListBullet"/>
      </w:pPr>
      <w:r>
        <w:t>CoR/Primary Duty obligations are broader and can apply to parties that influence or control transport activities, including some organisations that do not own heavy vehicles.</w:t>
      </w:r>
    </w:p>
    <w:p>
      <w:pPr>
        <w:pStyle w:val="ListBullet"/>
      </w:pPr>
      <w:r>
        <w:t>The product should support both operator audit readiness and customer/supplier assurance without conflating the two.</w:t>
      </w:r>
    </w:p>
    <w:p>
      <w:pPr>
        <w:pStyle w:val="Heading1"/>
      </w:pPr>
      <w:r>
        <w:t>5. Who pays and why</w:t>
      </w:r>
    </w:p>
    <w:tbl>
      <w:tblPr>
        <w:tblW w:type="auto" w:w="0"/>
        <w:jc w:val="center"/>
        <w:tblLook w:firstColumn="1" w:firstRow="1" w:lastColumn="0" w:lastRow="0" w:noHBand="0" w:noVBand="1" w:val="04A0"/>
      </w:tblPr>
      <w:tblGrid>
        <w:gridCol w:w="2045"/>
        <w:gridCol w:w="2045"/>
        <w:gridCol w:w="2045"/>
        <w:gridCol w:w="2045"/>
        <w:gridCol w:w="2045"/>
      </w:tblGrid>
      <w:tr>
        <w:tc>
          <w:tcPr>
            <w:tcW w:type="dxa" w:w="2045"/>
            <w:vAlign w:val="top"/>
            <w:shd w:fill="1F5A94"/>
          </w:tcPr>
          <w:p>
            <w:r>
              <w:rPr>
                <w:rFonts w:ascii="Aptos" w:hAnsi="Aptos"/>
                <w:b/>
                <w:color w:val="FFFFFF"/>
                <w:sz w:val="17"/>
              </w:rPr>
              <w:t>Buyer</w:t>
            </w:r>
          </w:p>
        </w:tc>
        <w:tc>
          <w:tcPr>
            <w:tcW w:type="dxa" w:w="2045"/>
            <w:vAlign w:val="top"/>
            <w:shd w:fill="1F5A94"/>
          </w:tcPr>
          <w:p>
            <w:r>
              <w:rPr>
                <w:rFonts w:ascii="Aptos" w:hAnsi="Aptos"/>
                <w:b/>
                <w:color w:val="FFFFFF"/>
                <w:sz w:val="17"/>
              </w:rPr>
              <w:t>Economic pain</w:t>
            </w:r>
          </w:p>
        </w:tc>
        <w:tc>
          <w:tcPr>
            <w:tcW w:type="dxa" w:w="2045"/>
            <w:vAlign w:val="top"/>
            <w:shd w:fill="1F5A94"/>
          </w:tcPr>
          <w:p>
            <w:r>
              <w:rPr>
                <w:rFonts w:ascii="Aptos" w:hAnsi="Aptos"/>
                <w:b/>
                <w:color w:val="FFFFFF"/>
                <w:sz w:val="17"/>
              </w:rPr>
              <w:t>Trigger</w:t>
            </w:r>
          </w:p>
        </w:tc>
        <w:tc>
          <w:tcPr>
            <w:tcW w:type="dxa" w:w="2045"/>
            <w:vAlign w:val="top"/>
            <w:shd w:fill="1F5A94"/>
          </w:tcPr>
          <w:p>
            <w:r>
              <w:rPr>
                <w:rFonts w:ascii="Aptos" w:hAnsi="Aptos"/>
                <w:b/>
                <w:color w:val="FFFFFF"/>
                <w:sz w:val="17"/>
              </w:rPr>
              <w:t>Product bought</w:t>
            </w:r>
          </w:p>
        </w:tc>
        <w:tc>
          <w:tcPr>
            <w:tcW w:type="dxa" w:w="2045"/>
            <w:vAlign w:val="top"/>
            <w:shd w:fill="1F5A94"/>
          </w:tcPr>
          <w:p>
            <w:r>
              <w:rPr>
                <w:rFonts w:ascii="Aptos" w:hAnsi="Aptos"/>
                <w:b/>
                <w:color w:val="FFFFFF"/>
                <w:sz w:val="17"/>
              </w:rPr>
              <w:t>Pricing hypothesis</w:t>
            </w:r>
          </w:p>
        </w:tc>
      </w:tr>
      <w:tr>
        <w:tc>
          <w:tcPr>
            <w:tcW w:type="dxa" w:w="2045"/>
          </w:tcPr>
          <w:p>
            <w:r>
              <w:t>Transport operator</w:t>
            </w:r>
          </w:p>
        </w:tc>
        <w:tc>
          <w:tcPr>
            <w:tcW w:type="dxa" w:w="2045"/>
          </w:tcPr>
          <w:p>
            <w:r>
              <w:t>Manual audit prep, fragmented evidence, compliance risk</w:t>
            </w:r>
          </w:p>
        </w:tc>
        <w:tc>
          <w:tcPr>
            <w:tcW w:type="dxa" w:w="2045"/>
          </w:tcPr>
          <w:p>
            <w:r>
              <w:t>HVA audit, customer assurance request, incident, growth</w:t>
            </w:r>
          </w:p>
        </w:tc>
        <w:tc>
          <w:tcPr>
            <w:tcW w:type="dxa" w:w="2045"/>
          </w:tcPr>
          <w:p>
            <w:r>
              <w:t>Operator Assurance</w:t>
            </w:r>
          </w:p>
        </w:tc>
        <w:tc>
          <w:tcPr>
            <w:tcW w:type="dxa" w:w="2045"/>
          </w:tcPr>
          <w:p>
            <w:r>
              <w:t>A$750-$6k/month by fleet complexity</w:t>
            </w:r>
          </w:p>
        </w:tc>
      </w:tr>
      <w:tr>
        <w:tc>
          <w:tcPr>
            <w:tcW w:type="dxa" w:w="2045"/>
          </w:tcPr>
          <w:p>
            <w:r>
              <w:t>Large fleet / multi-entity operator</w:t>
            </w:r>
          </w:p>
        </w:tc>
        <w:tc>
          <w:tcPr>
            <w:tcW w:type="dxa" w:w="2045"/>
          </w:tcPr>
          <w:p>
            <w:r>
              <w:t>Complex operations across sites, fleets, contractors</w:t>
            </w:r>
          </w:p>
        </w:tc>
        <w:tc>
          <w:tcPr>
            <w:tcW w:type="dxa" w:w="2045"/>
          </w:tcPr>
          <w:p>
            <w:r>
              <w:t>Need consistent assurance and executive visibility</w:t>
            </w:r>
          </w:p>
        </w:tc>
        <w:tc>
          <w:tcPr>
            <w:tcW w:type="dxa" w:w="2045"/>
          </w:tcPr>
          <w:p>
            <w:r>
              <w:t>Enterprise Operator Assurance</w:t>
            </w:r>
          </w:p>
        </w:tc>
        <w:tc>
          <w:tcPr>
            <w:tcW w:type="dxa" w:w="2045"/>
          </w:tcPr>
          <w:p>
            <w:r>
              <w:t>A$75k-$200k+/year</w:t>
            </w:r>
          </w:p>
        </w:tc>
      </w:tr>
      <w:tr>
        <w:tc>
          <w:tcPr>
            <w:tcW w:type="dxa" w:w="2045"/>
          </w:tcPr>
          <w:p>
            <w:r>
              <w:t>Enterprise shipper / retailer / manufacturer</w:t>
            </w:r>
          </w:p>
        </w:tc>
        <w:tc>
          <w:tcPr>
            <w:tcW w:type="dxa" w:w="2045"/>
          </w:tcPr>
          <w:p>
            <w:r>
              <w:t>Supplier compliance opacity and repeated due-diligence effort</w:t>
            </w:r>
          </w:p>
        </w:tc>
        <w:tc>
          <w:tcPr>
            <w:tcW w:type="dxa" w:w="2045"/>
          </w:tcPr>
          <w:p>
            <w:r>
              <w:t>Procurement, CoR risk, supplier reviews</w:t>
            </w:r>
          </w:p>
        </w:tc>
        <w:tc>
          <w:tcPr>
            <w:tcW w:type="dxa" w:w="2045"/>
          </w:tcPr>
          <w:p>
            <w:r>
              <w:t>Supplier Assurance Network</w:t>
            </w:r>
          </w:p>
        </w:tc>
        <w:tc>
          <w:tcPr>
            <w:tcW w:type="dxa" w:w="2045"/>
          </w:tcPr>
          <w:p>
            <w:r>
              <w:t>A$50k-$250k+/year</w:t>
            </w:r>
          </w:p>
        </w:tc>
      </w:tr>
      <w:tr>
        <w:tc>
          <w:tcPr>
            <w:tcW w:type="dxa" w:w="2045"/>
          </w:tcPr>
          <w:p>
            <w:r>
              <w:t>3PL / logistics manager</w:t>
            </w:r>
          </w:p>
        </w:tc>
        <w:tc>
          <w:tcPr>
            <w:tcW w:type="dxa" w:w="2045"/>
          </w:tcPr>
          <w:p>
            <w:r>
              <w:t>Subcontractor risk and customer assurance expectations</w:t>
            </w:r>
          </w:p>
        </w:tc>
        <w:tc>
          <w:tcPr>
            <w:tcW w:type="dxa" w:w="2045"/>
          </w:tcPr>
          <w:p>
            <w:r>
              <w:t>Customer demands evidence and status</w:t>
            </w:r>
          </w:p>
        </w:tc>
        <w:tc>
          <w:tcPr>
            <w:tcW w:type="dxa" w:w="2045"/>
          </w:tcPr>
          <w:p>
            <w:r>
              <w:t>Compliance Passport + supplier monitoring</w:t>
            </w:r>
          </w:p>
        </w:tc>
        <w:tc>
          <w:tcPr>
            <w:tcW w:type="dxa" w:w="2045"/>
          </w:tcPr>
          <w:p>
            <w:r>
              <w:t>A$30k-$150k/year</w:t>
            </w:r>
          </w:p>
        </w:tc>
      </w:tr>
      <w:tr>
        <w:tc>
          <w:tcPr>
            <w:tcW w:type="dxa" w:w="2045"/>
          </w:tcPr>
          <w:p>
            <w:r>
              <w:t>Auditor / compliance adviser</w:t>
            </w:r>
          </w:p>
        </w:tc>
        <w:tc>
          <w:tcPr>
            <w:tcW w:type="dxa" w:w="2045"/>
          </w:tcPr>
          <w:p>
            <w:r>
              <w:t>Manual evidence collection, sampling and workpapers</w:t>
            </w:r>
          </w:p>
        </w:tc>
        <w:tc>
          <w:tcPr>
            <w:tcW w:type="dxa" w:w="2045"/>
          </w:tcPr>
          <w:p>
            <w:r>
              <w:t>Audit productivity and scalable service delivery</w:t>
            </w:r>
          </w:p>
        </w:tc>
        <w:tc>
          <w:tcPr>
            <w:tcW w:type="dxa" w:w="2045"/>
          </w:tcPr>
          <w:p>
            <w:r>
              <w:t>Audit Workspace</w:t>
            </w:r>
          </w:p>
        </w:tc>
        <w:tc>
          <w:tcPr>
            <w:tcW w:type="dxa" w:w="2045"/>
          </w:tcPr>
          <w:p>
            <w:r>
              <w:t>Seat + per-audit usage / partner pricing</w:t>
            </w:r>
          </w:p>
        </w:tc>
      </w:tr>
    </w:tbl>
    <w:p>
      <w:pPr>
        <w:pStyle w:val="Heading1"/>
      </w:pPr>
      <w:r>
        <w:t>6. Product packaging</w:t>
      </w:r>
    </w:p>
    <w:p>
      <w:r>
        <w:rPr>
          <w:b/>
        </w:rPr>
        <w:t xml:space="preserve">Operator Assurance: </w:t>
      </w:r>
      <w:r>
        <w:t>Continuous control monitoring, evidence vault, findings, corrective actions and audit-ready workpapers for logistics operators.</w:t>
      </w:r>
    </w:p>
    <w:p>
      <w:r>
        <w:rPr>
          <w:b/>
        </w:rPr>
        <w:t xml:space="preserve">Supplier Assurance: </w:t>
      </w:r>
      <w:r>
        <w:t>Compliance Passports, supplier onboarding, certificate/evidence monitoring, customer-specific control mapping and enterprise supplier risk dashboard.</w:t>
      </w:r>
    </w:p>
    <w:p>
      <w:r>
        <w:rPr>
          <w:b/>
        </w:rPr>
        <w:t xml:space="preserve">Audit Workspace: </w:t>
      </w:r>
      <w:r>
        <w:t>Evidence-ready workpapers, suggested samples, PSOE assessment support, evidence requests, findings and CAR closure workflow.</w:t>
      </w:r>
    </w:p>
    <w:p>
      <w:r>
        <w:rPr>
          <w:b/>
        </w:rPr>
        <w:t xml:space="preserve">Compliance Copilot: </w:t>
      </w:r>
      <w:r>
        <w:t>Natural-language access to controls, evidence, findings and supplier status; all answers grounded in source evidence and audit trail.</w:t>
      </w:r>
    </w:p>
    <w:p>
      <w:pPr>
        <w:pStyle w:val="Heading1"/>
      </w:pPr>
      <w:r>
        <w:t>7. Economics and ROI model</w:t>
      </w:r>
    </w:p>
    <w:p>
      <w:r>
        <w:t>The value case should not rely only on reduced external audit fees. The larger cost is often internal labour spent collecting evidence, reconciling records, responding to customer assurance requests, managing supplier evidence and closing corrective actions.</w:t>
      </w:r>
    </w:p>
    <w:tbl>
      <w:tblPr>
        <w:tblW w:type="auto" w:w="0"/>
        <w:jc w:val="center"/>
        <w:tblLook w:firstColumn="1" w:firstRow="1" w:lastColumn="0" w:lastRow="0" w:noHBand="0" w:noVBand="1" w:val="04A0"/>
      </w:tblPr>
      <w:tblGrid>
        <w:gridCol w:w="2556"/>
        <w:gridCol w:w="2556"/>
        <w:gridCol w:w="2556"/>
        <w:gridCol w:w="2556"/>
      </w:tblGrid>
      <w:tr>
        <w:tc>
          <w:tcPr>
            <w:tcW w:type="dxa" w:w="2556"/>
            <w:vAlign w:val="top"/>
            <w:shd w:fill="1F5A94"/>
          </w:tcPr>
          <w:p>
            <w:r>
              <w:rPr>
                <w:rFonts w:ascii="Aptos" w:hAnsi="Aptos"/>
                <w:b/>
                <w:color w:val="FFFFFF"/>
                <w:sz w:val="17"/>
              </w:rPr>
              <w:t>Value lever</w:t>
            </w:r>
          </w:p>
        </w:tc>
        <w:tc>
          <w:tcPr>
            <w:tcW w:type="dxa" w:w="2556"/>
            <w:vAlign w:val="top"/>
            <w:shd w:fill="1F5A94"/>
          </w:tcPr>
          <w:p>
            <w:r>
              <w:rPr>
                <w:rFonts w:ascii="Aptos" w:hAnsi="Aptos"/>
                <w:b/>
                <w:color w:val="FFFFFF"/>
                <w:sz w:val="17"/>
              </w:rPr>
              <w:t>Typical current-state cost</w:t>
            </w:r>
          </w:p>
        </w:tc>
        <w:tc>
          <w:tcPr>
            <w:tcW w:type="dxa" w:w="2556"/>
            <w:vAlign w:val="top"/>
            <w:shd w:fill="1F5A94"/>
          </w:tcPr>
          <w:p>
            <w:r>
              <w:rPr>
                <w:rFonts w:ascii="Aptos" w:hAnsi="Aptos"/>
                <w:b/>
                <w:color w:val="FFFFFF"/>
                <w:sz w:val="17"/>
              </w:rPr>
              <w:t>Product mechanism</w:t>
            </w:r>
          </w:p>
        </w:tc>
        <w:tc>
          <w:tcPr>
            <w:tcW w:type="dxa" w:w="2556"/>
            <w:vAlign w:val="top"/>
            <w:shd w:fill="1F5A94"/>
          </w:tcPr>
          <w:p>
            <w:r>
              <w:rPr>
                <w:rFonts w:ascii="Aptos" w:hAnsi="Aptos"/>
                <w:b/>
                <w:color w:val="FFFFFF"/>
                <w:sz w:val="17"/>
              </w:rPr>
              <w:t>Measurement</w:t>
            </w:r>
          </w:p>
        </w:tc>
      </w:tr>
      <w:tr>
        <w:tc>
          <w:tcPr>
            <w:tcW w:type="dxa" w:w="2556"/>
          </w:tcPr>
          <w:p>
            <w:r>
              <w:t>Audit preparation</w:t>
            </w:r>
          </w:p>
        </w:tc>
        <w:tc>
          <w:tcPr>
            <w:tcW w:type="dxa" w:w="2556"/>
          </w:tcPr>
          <w:p>
            <w:r>
              <w:t>Manual evidence collection and spreadsheet reconciliation</w:t>
            </w:r>
          </w:p>
        </w:tc>
        <w:tc>
          <w:tcPr>
            <w:tcW w:type="dxa" w:w="2556"/>
          </w:tcPr>
          <w:p>
            <w:r>
              <w:t>Automated evidence vault and audit workpapers</w:t>
            </w:r>
          </w:p>
        </w:tc>
        <w:tc>
          <w:tcPr>
            <w:tcW w:type="dxa" w:w="2556"/>
          </w:tcPr>
          <w:p>
            <w:r>
              <w:t>Hours saved per audit / internal review</w:t>
            </w:r>
          </w:p>
        </w:tc>
      </w:tr>
      <w:tr>
        <w:tc>
          <w:tcPr>
            <w:tcW w:type="dxa" w:w="2556"/>
          </w:tcPr>
          <w:p>
            <w:r>
              <w:t>Compliance monitoring</w:t>
            </w:r>
          </w:p>
        </w:tc>
        <w:tc>
          <w:tcPr>
            <w:tcW w:type="dxa" w:w="2556"/>
          </w:tcPr>
          <w:p>
            <w:r>
              <w:t>Periodic review misses issues until late</w:t>
            </w:r>
          </w:p>
        </w:tc>
        <w:tc>
          <w:tcPr>
            <w:tcW w:type="dxa" w:w="2556"/>
          </w:tcPr>
          <w:p>
            <w:r>
              <w:t>Continuous control tests and findings inbox</w:t>
            </w:r>
          </w:p>
        </w:tc>
        <w:tc>
          <w:tcPr>
            <w:tcW w:type="dxa" w:w="2556"/>
          </w:tcPr>
          <w:p>
            <w:r>
              <w:t>Exceptions detected earlier</w:t>
            </w:r>
          </w:p>
        </w:tc>
      </w:tr>
      <w:tr>
        <w:tc>
          <w:tcPr>
            <w:tcW w:type="dxa" w:w="2556"/>
          </w:tcPr>
          <w:p>
            <w:r>
              <w:t>Supplier assurance</w:t>
            </w:r>
          </w:p>
        </w:tc>
        <w:tc>
          <w:tcPr>
            <w:tcW w:type="dxa" w:w="2556"/>
          </w:tcPr>
          <w:p>
            <w:r>
              <w:t>Repeated questionnaires and document chasing</w:t>
            </w:r>
          </w:p>
        </w:tc>
        <w:tc>
          <w:tcPr>
            <w:tcW w:type="dxa" w:w="2556"/>
          </w:tcPr>
          <w:p>
            <w:r>
              <w:t>Compliance Passport and supplier dashboard</w:t>
            </w:r>
          </w:p>
        </w:tc>
        <w:tc>
          <w:tcPr>
            <w:tcW w:type="dxa" w:w="2556"/>
          </w:tcPr>
          <w:p>
            <w:r>
              <w:t>Supplier onboarding time and review effort</w:t>
            </w:r>
          </w:p>
        </w:tc>
      </w:tr>
      <w:tr>
        <w:tc>
          <w:tcPr>
            <w:tcW w:type="dxa" w:w="2556"/>
          </w:tcPr>
          <w:p>
            <w:r>
              <w:t>Corrective actions</w:t>
            </w:r>
          </w:p>
        </w:tc>
        <w:tc>
          <w:tcPr>
            <w:tcW w:type="dxa" w:w="2556"/>
          </w:tcPr>
          <w:p>
            <w:r>
              <w:t>Findings closed late or without evidence</w:t>
            </w:r>
          </w:p>
        </w:tc>
        <w:tc>
          <w:tcPr>
            <w:tcW w:type="dxa" w:w="2556"/>
          </w:tcPr>
          <w:p>
            <w:r>
              <w:t>CAR workflow and effectiveness monitoring</w:t>
            </w:r>
          </w:p>
        </w:tc>
        <w:tc>
          <w:tcPr>
            <w:tcW w:type="dxa" w:w="2556"/>
          </w:tcPr>
          <w:p>
            <w:r>
              <w:t>Overdue CARs and recurrence rate</w:t>
            </w:r>
          </w:p>
        </w:tc>
      </w:tr>
      <w:tr>
        <w:tc>
          <w:tcPr>
            <w:tcW w:type="dxa" w:w="2556"/>
          </w:tcPr>
          <w:p>
            <w:r>
              <w:t>Executive due diligence</w:t>
            </w:r>
          </w:p>
        </w:tc>
        <w:tc>
          <w:tcPr>
            <w:tcW w:type="dxa" w:w="2556"/>
          </w:tcPr>
          <w:p>
            <w:r>
              <w:t>Manual board/risk pack preparation</w:t>
            </w:r>
          </w:p>
        </w:tc>
        <w:tc>
          <w:tcPr>
            <w:tcW w:type="dxa" w:w="2556"/>
          </w:tcPr>
          <w:p>
            <w:r>
              <w:t>Executive assurance dashboard with source evidence</w:t>
            </w:r>
          </w:p>
        </w:tc>
        <w:tc>
          <w:tcPr>
            <w:tcW w:type="dxa" w:w="2556"/>
          </w:tcPr>
          <w:p>
            <w:r>
              <w:t>Time to produce assurance pack</w:t>
            </w:r>
          </w:p>
        </w:tc>
      </w:tr>
    </w:tbl>
    <w:p>
      <w:pPr>
        <w:pStyle w:val="Heading1"/>
      </w:pPr>
      <w:r>
        <w:t>8. Competitive whitespace</w:t>
      </w:r>
    </w:p>
    <w:p>
      <w:r>
        <w:t>The product should avoid competing directly with TMS, EWD, telematics or maintenance platforms. Those systems run the operation and produce evidence. This SaaS should integrate with them and interpret their data as compliance evidence.</w:t>
      </w:r>
    </w:p>
    <w:p>
      <w:pPr>
        <w:pStyle w:val="ListBullet"/>
      </w:pPr>
      <w:r>
        <w:t>Not another TMS: no dispatch, route planning, freight billing or operational replacement in MVP.</w:t>
      </w:r>
    </w:p>
    <w:p>
      <w:pPr>
        <w:pStyle w:val="ListBullet"/>
      </w:pPr>
      <w:r>
        <w:t>Not generic GRC: no generic-only risk register as the core differentiator.</w:t>
      </w:r>
    </w:p>
    <w:p>
      <w:pPr>
        <w:pStyle w:val="ListBullet"/>
      </w:pPr>
      <w:r>
        <w:t>Not an AI auditor: auditors and compliance leaders retain judgement; AI assists evidence mapping, anomaly detection, root-cause reasoning and audit narrative preparation.</w:t>
      </w:r>
    </w:p>
    <w:p>
      <w:pPr>
        <w:pStyle w:val="ListBullet"/>
      </w:pPr>
      <w:r>
        <w:t>Not a universal accreditation claim: model HVA applicability separately from CoR applicability.</w:t>
      </w:r>
    </w:p>
    <w:p>
      <w:pPr>
        <w:pStyle w:val="Heading1"/>
      </w:pPr>
      <w:r>
        <w:t>9. Differentiated moat</w:t>
      </w:r>
    </w:p>
    <w:p>
      <w:pPr>
        <w:pStyle w:val="ListBullet"/>
      </w:pPr>
      <w:r>
        <w:t>Regulatory graph: obligation, role, jurisdiction, effective date and control mapping.</w:t>
      </w:r>
    </w:p>
    <w:p>
      <w:pPr>
        <w:pStyle w:val="ListBullet"/>
      </w:pPr>
      <w:r>
        <w:t>Evidence graph: source lineage across driver, vehicle, trip, load, incident, supplier and customer.</w:t>
      </w:r>
    </w:p>
    <w:p>
      <w:pPr>
        <w:pStyle w:val="ListBullet"/>
      </w:pPr>
      <w:r>
        <w:t>Risk graph: operational patterns linking schedules, fatigue, speed, loading and incidents.</w:t>
      </w:r>
    </w:p>
    <w:p>
      <w:pPr>
        <w:pStyle w:val="ListBullet"/>
      </w:pPr>
      <w:r>
        <w:t>Supplier network: controlled Compliance Passport and customer/supplier assurance workflow.</w:t>
      </w:r>
    </w:p>
    <w:p>
      <w:pPr>
        <w:pStyle w:val="ListBullet"/>
      </w:pPr>
      <w:r>
        <w:t>Audit workflow: evidence-ready workpapers, PSOE status and human judgement trail.</w:t>
      </w:r>
    </w:p>
    <w:p>
      <w:pPr>
        <w:pStyle w:val="Heading1"/>
      </w:pPr>
      <w:r>
        <w:t>10. MVP and phased roadmap</w:t>
      </w:r>
    </w:p>
    <w:p>
      <w:r>
        <w:rPr>
          <w:b/>
        </w:rPr>
        <w:t xml:space="preserve">Phase 0 - Foundation: </w:t>
      </w:r>
      <w:r>
        <w:t>Compliance graph, applicability engine, evidence model, integration patterns, security baseline and design-partner validation.</w:t>
      </w:r>
    </w:p>
    <w:p>
      <w:r>
        <w:rPr>
          <w:b/>
        </w:rPr>
        <w:t xml:space="preserve">Phase 1 - Operator MVP: </w:t>
      </w:r>
      <w:r>
        <w:t>8 control domains, 48 control tests, TMS/EWD/telematics/fleet integrations, findings, CARs, evidence vault and audit readiness.</w:t>
      </w:r>
    </w:p>
    <w:p>
      <w:r>
        <w:rPr>
          <w:b/>
        </w:rPr>
        <w:t xml:space="preserve">Phase 2 - Audit Workspace: </w:t>
      </w:r>
      <w:r>
        <w:t>Workpapers, evidence requests, sampling support, PSOE review and auditor collaboration.</w:t>
      </w:r>
    </w:p>
    <w:p>
      <w:r>
        <w:rPr>
          <w:b/>
        </w:rPr>
        <w:t xml:space="preserve">Phase 3 - Supplier Assurance: </w:t>
      </w:r>
      <w:r>
        <w:t>Compliance Passport, supplier onboarding, customer-specific obligations, supplier dashboard and evidence sharing.</w:t>
      </w:r>
    </w:p>
    <w:p>
      <w:r>
        <w:rPr>
          <w:b/>
        </w:rPr>
        <w:t xml:space="preserve">Phase 4 - Network Expansion: </w:t>
      </w:r>
      <w:r>
        <w:t>More frameworks: WHS, dangerous goods, customer standards, environmental controls and jurisdiction-specific rule packs.</w:t>
      </w:r>
    </w:p>
    <w:p>
      <w:pPr>
        <w:pStyle w:val="Heading1"/>
      </w:pPr>
      <w:r>
        <w:t>11. GTM update</w:t>
      </w:r>
    </w:p>
    <w:p>
      <w:r>
        <w:rPr>
          <w:b/>
        </w:rPr>
        <w:t xml:space="preserve">0-2 months: </w:t>
      </w:r>
      <w:r>
        <w:t>Secure 5 design partners: 3 operators, 1 enterprise shipper, 1 auditor/adviser. Baseline manual audit-prep effort and key evidence gaps.</w:t>
      </w:r>
    </w:p>
    <w:p>
      <w:r>
        <w:rPr>
          <w:b/>
        </w:rPr>
        <w:t xml:space="preserve">3-4 months: </w:t>
      </w:r>
      <w:r>
        <w:t>Run paid/committed pilots using real TMS/EWD/GPS/fleet data. Generate first evidence packs and quantified findings.</w:t>
      </w:r>
    </w:p>
    <w:p>
      <w:r>
        <w:rPr>
          <w:b/>
        </w:rPr>
        <w:t xml:space="preserve">5-6 months: </w:t>
      </w:r>
      <w:r>
        <w:t>Commercial MVP launch with operator assurance and audit-ready workpapers. Produce one quantified case study.</w:t>
      </w:r>
    </w:p>
    <w:p>
      <w:r>
        <w:rPr>
          <w:b/>
        </w:rPr>
        <w:t xml:space="preserve">7-9 months: </w:t>
      </w:r>
      <w:r>
        <w:t>Launch Compliance Passport beta with enterprise shipper use case.</w:t>
      </w:r>
    </w:p>
    <w:p>
      <w:r>
        <w:rPr>
          <w:b/>
        </w:rPr>
        <w:t xml:space="preserve">10-12 months: </w:t>
      </w:r>
      <w:r>
        <w:t>Scale through compliance advisers, TMS/fleet data partners and enterprise supply-chain risk teams.</w:t>
      </w:r>
    </w:p>
    <w:p>
      <w:pPr>
        <w:pStyle w:val="Heading1"/>
      </w:pPr>
      <w:r>
        <w:t>12. Positioning language</w:t>
      </w:r>
    </w:p>
    <w:tbl>
      <w:tblPr>
        <w:tblW w:type="auto" w:w="0"/>
        <w:jc w:val="center"/>
        <w:tblLook w:firstColumn="1" w:firstRow="1" w:lastColumn="0" w:lastRow="0" w:noHBand="0" w:noVBand="1" w:val="04A0"/>
      </w:tblPr>
      <w:tblGrid>
        <w:gridCol w:w="10224"/>
      </w:tblGrid>
      <w:tr>
        <w:tc>
          <w:tcPr>
            <w:tcW w:type="dxa" w:w="10224"/>
            <w:shd w:fill="EAF4F4"/>
          </w:tcPr>
          <w:p>
            <w:r>
              <w:rPr>
                <w:b/>
                <w:color w:val="15877E"/>
                <w:sz w:val="22"/>
              </w:rPr>
              <w:t>Use this</w:t>
            </w:r>
          </w:p>
          <w:p>
            <w:pPr>
              <w:spacing w:after="80"/>
            </w:pPr>
            <w:r>
              <w:t>Continuous assurance and audit readiness for logistics operators and outsourced transport supply chains.</w:t>
            </w:r>
          </w:p>
        </w:tc>
      </w:tr>
    </w:tbl>
    <w:tbl>
      <w:tblPr>
        <w:tblW w:type="auto" w:w="0"/>
        <w:jc w:val="center"/>
        <w:tblLook w:firstColumn="1" w:firstRow="1" w:lastColumn="0" w:lastRow="0" w:noHBand="0" w:noVBand="1" w:val="04A0"/>
      </w:tblPr>
      <w:tblGrid>
        <w:gridCol w:w="10224"/>
      </w:tblGrid>
      <w:tr>
        <w:tc>
          <w:tcPr>
            <w:tcW w:type="dxa" w:w="10224"/>
            <w:shd w:fill="EAF4F4"/>
          </w:tcPr>
          <w:p>
            <w:r>
              <w:rPr>
                <w:b/>
                <w:color w:val="15877E"/>
                <w:sz w:val="22"/>
              </w:rPr>
              <w:t>Avoid this</w:t>
            </w:r>
          </w:p>
          <w:p>
            <w:pPr>
              <w:spacing w:after="80"/>
            </w:pPr>
            <w:r>
              <w:t>Direct clone-style analogies, AI-replaces-auditor claims, one-size-fits-all compliance scores, or claims that every logistics company must obtain HVA accreditation.</w:t>
            </w:r>
          </w:p>
        </w:tc>
      </w:tr>
    </w:tbl>
    <w:p>
      <w:pPr>
        <w:pStyle w:val="Heading1"/>
      </w:pPr>
      <w:r>
        <w:t>13. Sources and benchmarks</w:t>
      </w:r>
    </w:p>
    <w:p>
      <w:pPr>
        <w:pStyle w:val="ListBullet"/>
      </w:pPr>
      <w:r>
        <w:t>NHVR - Heavy Vehicle Accreditation scheme: https://www.nhvr.gov.au/safety-accreditation-compliance/heavy-vehicle-accreditation-scheme</w:t>
      </w:r>
    </w:p>
    <w:p>
      <w:pPr>
        <w:pStyle w:val="ListBullet"/>
      </w:pPr>
      <w:r>
        <w:t>NHVR - HVA scheme audits and PSOE: https://www.nhvr.gov.au/safety-accreditation-compliance/heavy-vehicle-accreditation-scheme/about-the-hva-scheme/hva-scheme-audits</w:t>
      </w:r>
    </w:p>
    <w:p>
      <w:pPr>
        <w:pStyle w:val="ListBullet"/>
      </w:pPr>
      <w:r>
        <w:t>NHVR - Chain of Responsibility: https://www.nhvr.gov.au/safety-accreditation-compliance/chain-of-responsibility</w:t>
      </w:r>
    </w:p>
    <w:p>
      <w:pPr>
        <w:pStyle w:val="ListBullet"/>
      </w:pPr>
      <w:r>
        <w:t>NHVR - Parties in the Chain of Responsibility: https://www.nhvr.gov.au/safety-accreditation-compliance/chain-of-responsibility/the-primary-duty/parties-in-the-cor</w:t>
      </w:r>
    </w:p>
    <w:p>
      <w:pPr>
        <w:pStyle w:val="ListBullet"/>
      </w:pPr>
      <w:r>
        <w:t>NHVR - HVNL and regulations: https://www.nhvr.gov.au/law-policies/heavy-vehicle-national-law-and-regulations</w:t>
      </w:r>
    </w:p>
    <w:p>
      <w:pPr>
        <w:pStyle w:val="ListBullet"/>
      </w:pPr>
      <w:r>
        <w:t>NHVR - Fatigue management: https://www.nhvr.gov.au/safety-accreditation-compliance/fatigue-management</w:t>
      </w:r>
    </w:p>
    <w:p>
      <w:pPr>
        <w:pStyle w:val="ListBullet"/>
      </w:pPr>
      <w:r>
        <w:t>NHVR - Electronic Work Diary: https://www.nhvr.gov.au/safety-accreditation-compliance/fatigue-management/electronic-work-diary</w:t>
      </w:r>
    </w:p>
    <w:p>
      <w:pPr>
        <w:pStyle w:val="ListBullet"/>
      </w:pPr>
      <w:r>
        <w:t>NHVR - Mass, Dimension and Loading: https://www.nhvr.gov.au/road-access/mass-dimension-and-loading</w:t>
      </w:r>
    </w:p>
    <w:p>
      <w:pPr>
        <w:pStyle w:val="ListBullet"/>
      </w:pPr>
      <w:r>
        <w:t>NHVR - Loading requirements: https://www.nhvr.gov.au/road-access/loading</w:t>
      </w:r>
    </w:p>
    <w:p>
      <w:pPr>
        <w:pStyle w:val="ListBullet"/>
      </w:pPr>
      <w:r>
        <w:t>ABS - Counts of Australian Businesses, 2024-25: https://www.abs.gov.au/statistics/economy/business-indicators/counts-australian-businesses-including-entries-and-exits/latest-release</w:t>
      </w:r>
    </w:p>
    <w:p>
      <w:pPr>
        <w:pStyle w:val="ListBullet"/>
      </w:pPr>
      <w:r>
        <w:t>ABS - Australian Industry, 2024-25: https://www.abs.gov.au/statistics/industry/industry-overview/australian-industry/latest-release</w:t>
      </w:r>
    </w:p>
    <w:p>
      <w:pPr>
        <w:pStyle w:val="ListBullet"/>
      </w:pPr>
      <w:r>
        <w:t>Modern trust/compliance automation benchmark - automated evidence, continuous monitoring, audit readiness: https://www.vanta.com/products/automated-compliance</w:t>
      </w:r>
    </w:p>
    <w:p>
      <w:pPr>
        <w:pStyle w:val="ListBullet"/>
      </w:pPr>
      <w:r>
        <w:t>Modern trust/compliance automation benchmark - automated evidence, control monitoring, remediation: https://drata.com/products/compliance-automation</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42337"/>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05694"/>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42337"/>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