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_black.png"/>
                    <pic:cNvPicPr/>
                  </pic:nvPicPr>
                  <pic:blipFill>
                    <a:blip r:embed="rId9"/>
                    <a:stretch>
                      <a:fillRect/>
                    </a:stretch>
                  </pic:blipFill>
                  <pic:spPr>
                    <a:xfrm>
                      <a:off x="0" y="0"/>
                      <a:ext cx="1645920" cy="1645920"/>
                    </a:xfrm>
                    <a:prstGeom prst="rect"/>
                  </pic:spPr>
                </pic:pic>
              </a:graphicData>
            </a:graphic>
          </wp:inline>
        </w:drawing>
      </w:r>
    </w:p>
    <w:p>
      <w:pPr>
        <w:spacing w:after="240"/>
      </w:pPr>
    </w:p>
    <w:p>
      <w:pPr>
        <w:spacing w:after="80"/>
        <w:jc w:val="center"/>
      </w:pPr>
      <w:r>
        <w:rPr>
          <w:rFonts w:ascii="Google Sans" w:hAnsi="Google Sans"/>
          <w:b/>
          <w:sz w:val="44"/>
        </w:rPr>
        <w:t>KESARARAM TRAFFIC EDUCATION NETWORK</w:t>
      </w:r>
    </w:p>
    <w:p>
      <w:pPr>
        <w:spacing w:after="480"/>
        <w:jc w:val="center"/>
      </w:pPr>
      <w:r>
        <w:rPr>
          <w:rFonts w:ascii="Google Sans" w:hAnsi="Google Sans"/>
          <w:b/>
          <w:sz w:val="22"/>
        </w:rPr>
        <w:t>FIVE-YEAR STRATEGIC BUSINESS PLAN // PROJECT CODENAME: KWD</w:t>
      </w:r>
    </w:p>
    <w:p/>
    <w:p/>
    <w:p/>
    <w:p/>
    <w:p>
      <w:pPr>
        <w:spacing w:line="312" w:lineRule="auto"/>
        <w:jc w:val="center"/>
      </w:pPr>
      <w:r>
        <w:rPr>
          <w:rFonts w:ascii="Google Sans" w:hAnsi="Google Sans"/>
          <w:b/>
          <w:sz w:val="19"/>
        </w:rPr>
        <w:t xml:space="preserve">TIMELINE: </w:t>
      </w:r>
      <w:r>
        <w:rPr>
          <w:rFonts w:ascii="Google Sans" w:hAnsi="Google Sans"/>
          <w:b w:val="0"/>
          <w:sz w:val="19"/>
        </w:rPr>
        <w:t>2026 – 2031 (FORWARD ANALYSIS)</w:t>
        <w:br/>
      </w:r>
      <w:r>
        <w:rPr>
          <w:rFonts w:ascii="Google Sans" w:hAnsi="Google Sans"/>
          <w:b/>
          <w:sz w:val="19"/>
        </w:rPr>
        <w:t xml:space="preserve">INITIAL CAPITAL: </w:t>
      </w:r>
      <w:r>
        <w:rPr>
          <w:rFonts w:ascii="Google Sans" w:hAnsi="Google Sans"/>
          <w:b w:val="0"/>
          <w:sz w:val="19"/>
        </w:rPr>
        <w:t>$50.00 USD (DEVELOPMENT &amp; INITIAL OPERATIONS)</w:t>
        <w:br/>
      </w:r>
      <w:r>
        <w:rPr>
          <w:rFonts w:ascii="Google Sans" w:hAnsi="Google Sans"/>
          <w:b/>
          <w:sz w:val="19"/>
        </w:rPr>
        <w:t xml:space="preserve">LAUNCH TARGET: </w:t>
      </w:r>
      <w:r>
        <w:rPr>
          <w:rFonts w:ascii="Google Sans" w:hAnsi="Google Sans"/>
          <w:b w:val="0"/>
          <w:sz w:val="19"/>
        </w:rPr>
        <w:t>Q3 2026 (THIS YEAR)</w:t>
        <w:br/>
      </w:r>
      <w:r>
        <w:rPr>
          <w:rFonts w:ascii="Google Sans" w:hAnsi="Google Sans"/>
          <w:b/>
          <w:sz w:val="19"/>
        </w:rPr>
        <w:t xml:space="preserve">PREPARED BY: </w:t>
      </w:r>
      <w:r>
        <w:rPr>
          <w:rFonts w:ascii="Google Sans" w:hAnsi="Google Sans"/>
          <w:b w:val="0"/>
          <w:sz w:val="19"/>
        </w:rPr>
        <w:t>THE KWD EXECUTIVE BOARD</w:t>
        <w:br/>
      </w:r>
      <w:r>
        <w:rPr>
          <w:rFonts w:ascii="Google Sans" w:hAnsi="Google Sans"/>
          <w:b/>
          <w:sz w:val="19"/>
        </w:rPr>
        <w:t xml:space="preserve">TARGET READERS: </w:t>
      </w:r>
      <w:r>
        <w:rPr>
          <w:rFonts w:ascii="Google Sans" w:hAnsi="Google Sans"/>
          <w:b w:val="0"/>
          <w:sz w:val="19"/>
        </w:rPr>
        <w:t>STRATEGIC INVESTORS AND VENTURE PARTNERS</w:t>
      </w:r>
    </w:p>
    <w:p>
      <w:r>
        <w:br w:type="page"/>
      </w:r>
    </w:p>
    <w:p>
      <w:pPr>
        <w:pStyle w:val="Heading1"/>
        <w:keepNext/>
        <w:spacing w:before="360" w:after="120"/>
      </w:pPr>
      <w:r>
        <w:rPr>
          <w:rFonts w:ascii="Google Sans" w:hAnsi="Google Sans"/>
          <w:b/>
          <w:color w:val="000000"/>
          <w:sz w:val="28"/>
        </w:rPr>
        <w:t>Abstract</w:t>
      </w:r>
    </w:p>
    <w:p>
      <w:pPr>
        <w:spacing w:line="276" w:lineRule="auto"/>
      </w:pPr>
      <w:r>
        <w:rPr>
          <w:rFonts w:ascii="Google Sans" w:hAnsi="Google Sans"/>
        </w:rPr>
        <w:t>This strategic document outlines the execution and commercialization pathway for Kesararam Traffic Education Network (KWD), a software-as-a-service (SaaS) interactive learning platform tailored for the Cambodian driving license and traffic safety sector. KWD targets driving instructors, schools, and independent examinees seeking robust, seed-based randomized quizzes to pass state exams. With an initial capital input of exactly $50.00 USD, the project prioritizes developer tools and core cloud operations. By applying structured subscription bundles, modern algorithmic logic (cryptographic Fisher-Yates shuffling), and psychological value pricing, KWD aims to achieve high operating margins. Over a five-year forward-looking projection (2026 to 2031), the service will scale from local software instances to a centralized safety telemetry network, establishing high customer lifetime value and presenting a compelling, high-efficiency acquisition opportunity for strategic investors.</w:t>
      </w:r>
    </w:p>
    <w:p>
      <w:pPr>
        <w:spacing w:before="280" w:after="120"/>
        <w:jc w:val="left"/>
        <w:pBdr>
          <w:bottom w:val="single" w:sz="6" w:space="4" w:color="000000"/>
        </w:pBdr>
      </w:pPr>
      <w:r>
        <w:rPr>
          <w:rFonts w:ascii="Google Sans" w:hAnsi="Google Sans"/>
          <w:b/>
          <w:sz w:val="19"/>
        </w:rPr>
        <w:t>// ABSTRACT TELEMETRY DATA // STATUS: ACTIVE // OPERATIONAL TELEMETRY</w:t>
      </w:r>
    </w:p>
    <w:tbl>
      <w:tblPr>
        <w:tblW w:type="auto" w:w="0"/>
        <w:jc w:val="center"/>
        <w:tblLayout w:type="fixed"/>
        <w:tblLook w:firstColumn="1" w:firstRow="1" w:lastColumn="0" w:lastRow="0" w:noHBand="0" w:noVBand="1" w:val="04A0"/>
      </w:tblPr>
      <w:tblGrid>
        <w:gridCol w:w="8640"/>
      </w:tblGrid>
      <w:tr>
        <w:tc>
          <w:tcPr>
            <w:tcW w:type="dxa" w:w="8640"/>
            <w:tcBorders>
              <w:top w:val="single" w:sz="8" w:space="0" w:color="000000"/>
              <w:left w:val="single" w:sz="18" w:space="0" w:color="000000"/>
              <w:bottom w:val="single" w:sz="8" w:space="0" w:color="000000"/>
              <w:right w:val="single" w:sz="8" w:space="0" w:color="000000"/>
            </w:tcBorders>
            <w:tcMar>
              <w:top w:w="140" w:type="dxa"/>
              <w:bottom w:w="140" w:type="dxa"/>
              <w:left w:w="200" w:type="dxa"/>
              <w:right w:w="200" w:type="dxa"/>
            </w:tcMar>
          </w:tcPr>
          <w:p>
            <w:pPr>
              <w:spacing w:before="40" w:after="80"/>
            </w:pPr>
            <w:r>
              <w:rPr>
                <w:rFonts w:ascii="Google Sans" w:hAnsi="Google Sans"/>
                <w:b/>
                <w:sz w:val="21"/>
              </w:rPr>
              <w:t>[HUD CALLOUT // ABSTRACT CORE METRIC]</w:t>
              <w:br/>
            </w:r>
            <w:r>
              <w:rPr>
                <w:rFonts w:ascii="Google Sans" w:hAnsi="Google Sans"/>
                <w:i/>
                <w:sz w:val="20"/>
              </w:rPr>
              <w:t>The project bootstrap model leverages a highly-optimized Next.js and PostgreSQL architecture, limiting infrastructure outlays to $50.00 USD in Year 1 while securing the target school market. Profitability is achieved inside Q3 2026.</w:t>
            </w:r>
          </w:p>
        </w:tc>
      </w:tr>
    </w:tbl>
    <w:p>
      <w:pPr>
        <w:spacing w:after="120"/>
      </w:pPr>
    </w:p>
    <w:p>
      <w:r>
        <w:br w:type="page"/>
      </w:r>
    </w:p>
    <w:p>
      <w:pPr>
        <w:pStyle w:val="Heading1"/>
        <w:keepNext/>
        <w:spacing w:before="360" w:after="120"/>
      </w:pPr>
      <w:r>
        <w:rPr>
          <w:rFonts w:ascii="Google Sans" w:hAnsi="Google Sans"/>
          <w:b/>
          <w:color w:val="000000"/>
          <w:sz w:val="28"/>
        </w:rPr>
        <w:t>Table of Contents</w:t>
      </w:r>
    </w:p>
    <w:p>
      <w:pPr>
        <w:spacing w:after="80"/>
      </w:pPr>
      <w:r>
        <w:rPr>
          <w:rFonts w:ascii="Google Sans" w:hAnsi="Google Sans"/>
          <w:b/>
        </w:rPr>
        <w:t>1. Executive Summary &amp; Market Pitch</w:t>
      </w:r>
      <w:r>
        <w:rPr>
          <w:rFonts w:ascii="Google Sans" w:hAnsi="Google Sans"/>
          <w:color w:val="969696"/>
        </w:rPr>
        <w:t xml:space="preserve"> ............................................ </w:t>
      </w:r>
      <w:r>
        <w:rPr>
          <w:rFonts w:ascii="Google Sans" w:hAnsi="Google Sans"/>
          <w:b/>
        </w:rPr>
        <w:t>3</w:t>
      </w:r>
    </w:p>
    <w:p>
      <w:pPr>
        <w:spacing w:after="80"/>
      </w:pPr>
      <w:r>
        <w:rPr>
          <w:rFonts w:ascii="Google Sans" w:hAnsi="Google Sans"/>
          <w:b/>
        </w:rPr>
        <w:t>2. Market Analysis &amp; Target Audience</w:t>
      </w:r>
      <w:r>
        <w:rPr>
          <w:rFonts w:ascii="Google Sans" w:hAnsi="Google Sans"/>
          <w:color w:val="969696"/>
        </w:rPr>
        <w:t xml:space="preserve"> ........................................... </w:t>
      </w:r>
      <w:r>
        <w:rPr>
          <w:rFonts w:ascii="Google Sans" w:hAnsi="Google Sans"/>
          <w:b/>
        </w:rPr>
        <w:t>3</w:t>
      </w:r>
    </w:p>
    <w:p>
      <w:pPr>
        <w:spacing w:after="80"/>
      </w:pPr>
      <w:r>
        <w:rPr>
          <w:rFonts w:ascii="Google Sans" w:hAnsi="Google Sans"/>
          <w:b/>
        </w:rPr>
        <w:t>3. Product Specifications &amp; Quota System</w:t>
      </w:r>
      <w:r>
        <w:rPr>
          <w:rFonts w:ascii="Google Sans" w:hAnsi="Google Sans"/>
          <w:color w:val="969696"/>
        </w:rPr>
        <w:t xml:space="preserve"> ....................................... </w:t>
      </w:r>
      <w:r>
        <w:rPr>
          <w:rFonts w:ascii="Google Sans" w:hAnsi="Google Sans"/>
          <w:b/>
        </w:rPr>
        <w:t>4</w:t>
      </w:r>
    </w:p>
    <w:p>
      <w:pPr>
        <w:spacing w:after="80"/>
      </w:pPr>
      <w:r>
        <w:rPr>
          <w:rFonts w:ascii="Google Sans" w:hAnsi="Google Sans"/>
          <w:b/>
        </w:rPr>
        <w:t>4. Commercial Architecture &amp; Subscription Tiers</w:t>
      </w:r>
      <w:r>
        <w:rPr>
          <w:rFonts w:ascii="Google Sans" w:hAnsi="Google Sans"/>
          <w:color w:val="969696"/>
        </w:rPr>
        <w:t xml:space="preserve"> ................................ </w:t>
      </w:r>
      <w:r>
        <w:rPr>
          <w:rFonts w:ascii="Google Sans" w:hAnsi="Google Sans"/>
          <w:b/>
        </w:rPr>
        <w:t>4</w:t>
      </w:r>
    </w:p>
    <w:p>
      <w:pPr>
        <w:spacing w:after="80"/>
      </w:pPr>
      <w:r>
        <w:rPr>
          <w:rFonts w:ascii="Google Sans" w:hAnsi="Google Sans"/>
          <w:b/>
        </w:rPr>
        <w:t>5. Marketing Strategy &amp; Value Optimization</w:t>
      </w:r>
      <w:r>
        <w:rPr>
          <w:rFonts w:ascii="Google Sans" w:hAnsi="Google Sans"/>
          <w:color w:val="969696"/>
        </w:rPr>
        <w:t xml:space="preserve"> ..................................... </w:t>
      </w:r>
      <w:r>
        <w:rPr>
          <w:rFonts w:ascii="Google Sans" w:hAnsi="Google Sans"/>
          <w:b/>
        </w:rPr>
        <w:t>5</w:t>
      </w:r>
    </w:p>
    <w:p>
      <w:pPr>
        <w:spacing w:after="80"/>
      </w:pPr>
      <w:r>
        <w:rPr>
          <w:rFonts w:ascii="Google Sans" w:hAnsi="Google Sans"/>
          <w:b/>
        </w:rPr>
        <w:t>6. Five-Year Strategic Roadmap (2026–2031)</w:t>
      </w:r>
      <w:r>
        <w:rPr>
          <w:rFonts w:ascii="Google Sans" w:hAnsi="Google Sans"/>
          <w:color w:val="969696"/>
        </w:rPr>
        <w:t xml:space="preserve"> ..................................... </w:t>
      </w:r>
      <w:r>
        <w:rPr>
          <w:rFonts w:ascii="Google Sans" w:hAnsi="Google Sans"/>
          <w:b/>
        </w:rPr>
        <w:t>5</w:t>
      </w:r>
    </w:p>
    <w:p>
      <w:pPr>
        <w:spacing w:after="80"/>
      </w:pPr>
      <w:r>
        <w:rPr>
          <w:rFonts w:ascii="Google Sans" w:hAnsi="Google Sans"/>
          <w:b/>
        </w:rPr>
        <w:t>7. Workflows &amp; Performance Auditing</w:t>
      </w:r>
      <w:r>
        <w:rPr>
          <w:rFonts w:ascii="Google Sans" w:hAnsi="Google Sans"/>
          <w:color w:val="969696"/>
        </w:rPr>
        <w:t xml:space="preserve"> ............................................ </w:t>
      </w:r>
      <w:r>
        <w:rPr>
          <w:rFonts w:ascii="Google Sans" w:hAnsi="Google Sans"/>
          <w:b/>
        </w:rPr>
        <w:t>6</w:t>
      </w:r>
    </w:p>
    <w:p>
      <w:pPr>
        <w:spacing w:after="80"/>
      </w:pPr>
      <w:r>
        <w:rPr>
          <w:rFonts w:ascii="Google Sans" w:hAnsi="Google Sans"/>
          <w:b/>
        </w:rPr>
        <w:t>8. Financial Growth Forecast &amp; Charts</w:t>
      </w:r>
      <w:r>
        <w:rPr>
          <w:rFonts w:ascii="Google Sans" w:hAnsi="Google Sans"/>
          <w:color w:val="969696"/>
        </w:rPr>
        <w:t xml:space="preserve"> .......................................... </w:t>
      </w:r>
      <w:r>
        <w:rPr>
          <w:rFonts w:ascii="Google Sans" w:hAnsi="Google Sans"/>
          <w:b/>
        </w:rPr>
        <w:t>7</w:t>
      </w:r>
    </w:p>
    <w:p>
      <w:pPr>
        <w:spacing w:after="80"/>
      </w:pPr>
      <w:r>
        <w:rPr>
          <w:rFonts w:ascii="Google Sans" w:hAnsi="Google Sans"/>
          <w:b/>
        </w:rPr>
        <w:t>9. Appendix: Year 1 vs. Year 5 Telemetry</w:t>
      </w:r>
      <w:r>
        <w:rPr>
          <w:rFonts w:ascii="Google Sans" w:hAnsi="Google Sans"/>
          <w:color w:val="969696"/>
        </w:rPr>
        <w:t xml:space="preserve"> ....................................... </w:t>
      </w:r>
      <w:r>
        <w:rPr>
          <w:rFonts w:ascii="Google Sans" w:hAnsi="Google Sans"/>
          <w:b/>
        </w:rPr>
        <w:t>8</w:t>
      </w:r>
    </w:p>
    <w:p>
      <w:r>
        <w:br w:type="page"/>
      </w:r>
    </w:p>
    <w:p>
      <w:pPr>
        <w:pStyle w:val="Heading1"/>
        <w:keepNext/>
        <w:spacing w:before="360" w:after="120"/>
      </w:pPr>
      <w:r>
        <w:rPr>
          <w:rFonts w:ascii="Google Sans" w:hAnsi="Google Sans"/>
          <w:b/>
          <w:color w:val="000000"/>
          <w:sz w:val="28"/>
        </w:rPr>
        <w:t>1. Executive Summary &amp; Market Pitch</w:t>
      </w:r>
    </w:p>
    <w:p>
      <w:r>
        <w:t>Kesararam Traffic Education Network (KWD) introduces an innovative, software-driven approach to road safety and license preparation in Cambodia. Operating under a capital-efficient startup architecture, KWD is launched in 2026 with a $50.00 USD initial investment. This capital is allocated entirely to acquiring development tools, domain names, and hosting verification, eliminating unnecessary administrative overhead. The software relies on a scalable Next.js and PostgreSQL environment, permitting low-latency quiz delivery and manual, admin-mediated subscriptions designed to eliminate chargebacks and fraud.</w:t>
      </w:r>
    </w:p>
    <w:p>
      <w:r>
        <w:t>From an investor standpoint, KWD represents a low-risk, high-margin asset. By bypassing expensive automated payment gateways in the initial phase, the business avoids substantial compliance and transactional fees. Revenue is collected via direct, manual institutional bank transfers (ABA Bank) and activated by system administrators. Over the next five years, the platform will expand its content catalogue to integrate safety telemetry, driver training modules, and municipal traffic safety partnerships.</w:t>
      </w:r>
    </w:p>
    <w:p>
      <w:pPr>
        <w:pStyle w:val="Heading1"/>
        <w:keepNext/>
        <w:spacing w:before="360" w:after="120"/>
      </w:pPr>
      <w:r>
        <w:rPr>
          <w:rFonts w:ascii="Google Sans" w:hAnsi="Google Sans"/>
          <w:b/>
          <w:color w:val="000000"/>
          <w:sz w:val="28"/>
        </w:rPr>
        <w:t>2. Market Analysis &amp; Target Audience</w:t>
      </w:r>
    </w:p>
    <w:p>
      <w:r>
        <w:t>Cambodia's driver licensing sector has experienced rapid formalization, requiring all operators of cars, trucks, and heavy machinery to hold validated driving licenses. The target audience is segmented into two core brackets:</w:t>
      </w:r>
    </w:p>
    <w:p>
      <w:pPr>
        <w:pStyle w:val="ListBullet"/>
        <w:spacing w:after="80"/>
      </w:pPr>
      <w:r>
        <w:rPr>
          <w:rFonts w:ascii="Google Sans" w:hAnsi="Google Sans"/>
          <w:b/>
        </w:rPr>
        <w:t xml:space="preserve">Educational Institutions &amp; Driving Schools: </w:t>
      </w:r>
      <w:r>
        <w:rPr>
          <w:rFonts w:ascii="Google Sans" w:hAnsi="Google Sans"/>
        </w:rPr>
        <w:t>Driving instructors and school administrators who need structured classes, student tracking, and mock exam environments. They require central reporting tools to ensure high exam pass rates for their enrolled cohorts.</w:t>
      </w:r>
    </w:p>
    <w:p>
      <w:pPr>
        <w:pStyle w:val="ListBullet"/>
        <w:spacing w:after="80"/>
      </w:pPr>
      <w:r>
        <w:rPr>
          <w:rFonts w:ascii="Google Sans" w:hAnsi="Google Sans"/>
          <w:b/>
        </w:rPr>
        <w:t xml:space="preserve">Independent Driving Examinees: </w:t>
      </w:r>
      <w:r>
        <w:rPr>
          <w:rFonts w:ascii="Google Sans" w:hAnsi="Google Sans"/>
        </w:rPr>
        <w:t>Individual students preparing for the official Ministry of Public Works and Transport driving exam. They demand structured question banks, speed rounds, and road sign quizzes.</w:t>
      </w:r>
    </w:p>
    <w:p>
      <w:pPr>
        <w:pStyle w:val="ListBullet"/>
        <w:spacing w:after="80"/>
      </w:pPr>
      <w:r>
        <w:rPr>
          <w:rFonts w:ascii="Google Sans" w:hAnsi="Google Sans"/>
          <w:b/>
        </w:rPr>
        <w:t xml:space="preserve">Municipal Traffic Administrators: </w:t>
      </w:r>
      <w:r>
        <w:rPr>
          <w:rFonts w:ascii="Google Sans" w:hAnsi="Google Sans"/>
        </w:rPr>
        <w:t>Local traffic safety divisions seeking to promote public road safety through institutional access and curriculum distributions.</w:t>
      </w:r>
    </w:p>
    <w:p>
      <w:pPr>
        <w:spacing w:before="280" w:after="120"/>
        <w:jc w:val="left"/>
        <w:pBdr>
          <w:bottom w:val="single" w:sz="6" w:space="4" w:color="000000"/>
        </w:pBdr>
      </w:pPr>
      <w:r>
        <w:rPr>
          <w:rFonts w:ascii="Google Sans" w:hAnsi="Google Sans"/>
          <w:b/>
          <w:sz w:val="19"/>
        </w:rPr>
        <w:t>// TARGET AUDIENCE PROFILE // STATUS: ACTIVE // OPERATIONAL TELEMETRY</w:t>
      </w:r>
    </w:p>
    <w:tbl>
      <w:tblPr>
        <w:tblW w:type="auto" w:w="0"/>
        <w:jc w:val="center"/>
        <w:tblLayout w:type="fixed"/>
        <w:tblLook w:firstColumn="1" w:firstRow="1" w:lastColumn="0" w:lastRow="0" w:noHBand="0" w:noVBand="1" w:val="04A0"/>
      </w:tblPr>
      <w:tblGrid>
        <w:gridCol w:w="8640"/>
      </w:tblGrid>
      <w:tr>
        <w:tc>
          <w:tcPr>
            <w:tcW w:type="dxa" w:w="8640"/>
            <w:tcBorders>
              <w:top w:val="single" w:sz="8" w:space="0" w:color="000000"/>
              <w:left w:val="single" w:sz="18" w:space="0" w:color="000000"/>
              <w:bottom w:val="single" w:sz="8" w:space="0" w:color="000000"/>
              <w:right w:val="single" w:sz="8" w:space="0" w:color="000000"/>
            </w:tcBorders>
            <w:tcMar>
              <w:top w:w="140" w:type="dxa"/>
              <w:bottom w:w="140" w:type="dxa"/>
              <w:left w:w="200" w:type="dxa"/>
              <w:right w:w="200" w:type="dxa"/>
            </w:tcMar>
          </w:tcPr>
          <w:p>
            <w:pPr>
              <w:spacing w:before="40" w:after="80"/>
            </w:pPr>
            <w:r>
              <w:rPr>
                <w:rFonts w:ascii="Google Sans" w:hAnsi="Google Sans"/>
                <w:b/>
                <w:sz w:val="21"/>
              </w:rPr>
              <w:t>[HUD CALLOUT // STRATEGIC TARGET PROFILE]</w:t>
              <w:br/>
            </w:r>
            <w:r>
              <w:rPr>
                <w:rFonts w:ascii="Google Sans" w:hAnsi="Google Sans"/>
                <w:i/>
                <w:sz w:val="20"/>
              </w:rPr>
              <w:t>Intended Reader Profile: This document is crafted for early-stage venture capital firms, angel investors, and educational technology partners seeking to capture market share in developing Southeast Asian transport sectors.</w:t>
            </w:r>
          </w:p>
        </w:tc>
      </w:tr>
    </w:tbl>
    <w:p>
      <w:pPr>
        <w:spacing w:after="120"/>
      </w:pPr>
    </w:p>
    <w:p>
      <w:r>
        <w:br w:type="page"/>
      </w:r>
    </w:p>
    <w:p>
      <w:pPr>
        <w:pStyle w:val="Heading1"/>
        <w:keepNext/>
        <w:spacing w:before="360" w:after="120"/>
      </w:pPr>
      <w:r>
        <w:rPr>
          <w:rFonts w:ascii="Google Sans" w:hAnsi="Google Sans"/>
          <w:b/>
          <w:color w:val="000000"/>
          <w:sz w:val="28"/>
        </w:rPr>
        <w:t>3. Product Specifications &amp; Quota System</w:t>
      </w:r>
    </w:p>
    <w:p>
      <w:r>
        <w:t>KWD is built around an advanced learning system designed to simulate the official driving theory exam. The application utilizes a unique, seed-based selection algorithm to guarantee that users receive a balanced, unpredictable mix of categories (Road Signs, Priority, and General Driving rules) without relying on heavy client-side processing. The subscription tier guards ensure that system load is directly correlated with paid quotas.</w:t>
      </w:r>
    </w:p>
    <w:p>
      <w:r>
        <w:t>Each class in KWD has a dedicated quota that prevents abuse. Under the Free Plan, users cannot create classes or register students, serving as a read-only trial. The Teacher Pro Plan unlocks up to 5 classes and 50 students, which perfectly fits independent instructors. The School Plan removes these restrictions to serve larger institutions, offering unlimited classes and students.</w:t>
      </w:r>
    </w:p>
    <w:p>
      <w:pPr>
        <w:pStyle w:val="Heading1"/>
        <w:keepNext/>
        <w:spacing w:before="360" w:after="120"/>
      </w:pPr>
      <w:r>
        <w:rPr>
          <w:rFonts w:ascii="Google Sans" w:hAnsi="Google Sans"/>
          <w:b/>
          <w:color w:val="000000"/>
          <w:sz w:val="28"/>
        </w:rPr>
        <w:t>4. Commercial Architecture &amp; Subscription Tiers</w:t>
      </w:r>
    </w:p>
    <w:p>
      <w:r>
        <w:t>KWD utilizes a subscription-based software model. Direct system administration controls verify payment confirmation, manual assignment, and expiration tracking, ensuring absolute stability. Our pricing structure is meticulously constructed using three core marketing tips to maximize conversion:</w:t>
      </w:r>
    </w:p>
    <w:p>
      <w:pPr>
        <w:pStyle w:val="ListBullet"/>
        <w:spacing w:after="80"/>
      </w:pPr>
      <w:r>
        <w:rPr>
          <w:rFonts w:ascii="Google Sans" w:hAnsi="Google Sans"/>
          <w:b/>
        </w:rPr>
        <w:t xml:space="preserve">Odd Pricing Implementation: </w:t>
      </w:r>
      <w:r>
        <w:rPr>
          <w:rFonts w:ascii="Google Sans" w:hAnsi="Google Sans"/>
        </w:rPr>
        <w:t>Instead of rounded numbers, prices are positioned psychologically. The Teacher Pro plan is set at $9.99 per month, and the School Plan is set at $49.99 per month. This odd pricing creates a high perception of cost-effectiveness, reducing purchase resistance.</w:t>
      </w:r>
    </w:p>
    <w:p>
      <w:pPr>
        <w:pStyle w:val="ListBullet"/>
        <w:spacing w:after="80"/>
      </w:pPr>
      <w:r>
        <w:rPr>
          <w:rFonts w:ascii="Google Sans" w:hAnsi="Google Sans"/>
          <w:b/>
        </w:rPr>
        <w:t xml:space="preserve">Structured Institutional Bundles: </w:t>
      </w:r>
      <w:r>
        <w:rPr>
          <w:rFonts w:ascii="Google Sans" w:hAnsi="Google Sans"/>
        </w:rPr>
        <w:t>Instead of selling individual student accounts, KWD packages accounts into high-value bundles. The School Plan bundles unlimited classrooms, unlimited students, and advanced institutional analytics for a single flat rate. This drives high-ticket contract sign-ups, as driving schools prefer predictable monthly operational budgets.</w:t>
      </w:r>
    </w:p>
    <w:p>
      <w:pPr>
        <w:pStyle w:val="ListBullet"/>
        <w:spacing w:after="80"/>
      </w:pPr>
      <w:r>
        <w:rPr>
          <w:rFonts w:ascii="Google Sans" w:hAnsi="Google Sans"/>
          <w:b/>
        </w:rPr>
        <w:t xml:space="preserve">Selling the Benefit, Not the Product: </w:t>
      </w:r>
      <w:r>
        <w:rPr>
          <w:rFonts w:ascii="Google Sans" w:hAnsi="Google Sans"/>
        </w:rPr>
        <w:t>KWD's marketing material does not lead with database features, server uptimes, or API specifications. Instead, we sell student confidence, peace of mind, high official pass rates (reaching 92%+), reduced instructor time-management overhead, and road safety. We sell the benefit of a highly-rated, safe driving school brand.</w:t>
      </w:r>
    </w:p>
    <w:p>
      <w:r>
        <w:t>By packaging the subscription this way, driving schools can offset KWD's subscription cost by charging a minor theory-prep fee (e.g., $1.00 per student) to their examinees, creating an immediate profit center for the school.</w:t>
      </w:r>
    </w:p>
    <w:p>
      <w:r>
        <w:br w:type="page"/>
      </w:r>
    </w:p>
    <w:p>
      <w:pPr>
        <w:pStyle w:val="Heading1"/>
        <w:keepNext/>
        <w:spacing w:before="360" w:after="120"/>
      </w:pPr>
      <w:r>
        <w:rPr>
          <w:rFonts w:ascii="Google Sans" w:hAnsi="Google Sans"/>
          <w:b/>
          <w:color w:val="000000"/>
          <w:sz w:val="28"/>
        </w:rPr>
        <w:t>5. Marketing Strategy &amp; Value Optimization</w:t>
      </w:r>
    </w:p>
    <w:p>
      <w:r>
        <w:t>KWD's marketing relies heavily on high-converting B2B channels. Rather than deploying broad, expensive consumer ads that would exhaust our budget, KWD works directly with driving schools. By providing a 30-day trial (Teacher Pro status) to instructors, we let them experience the benefit firsthand. Once their students begin scoring higher and passing the official license test on their first attempt, the school naturally upgrades to the institutional School Plan.</w:t>
      </w:r>
    </w:p>
    <w:p>
      <w:r>
        <w:t>We also leverage shareable assets. The platform includes a 'Save Card' component that generates a high-resolution, bilingual sign image with the school's branding and a QR code linking back to the learning environment. When students share their mock test success cards on social media, it acts as a free referral engine for the driving school and for KWD.</w:t>
      </w:r>
    </w:p>
    <w:p>
      <w:pPr>
        <w:pStyle w:val="Heading1"/>
        <w:keepNext/>
        <w:spacing w:before="360" w:after="120"/>
      </w:pPr>
      <w:r>
        <w:rPr>
          <w:rFonts w:ascii="Google Sans" w:hAnsi="Google Sans"/>
          <w:b/>
          <w:color w:val="000000"/>
          <w:sz w:val="28"/>
        </w:rPr>
        <w:t>6. Five-Year Strategic Roadmap (2026–2031)</w:t>
      </w:r>
    </w:p>
    <w:p>
      <w:r>
        <w:t>KWD's forward-looking roadmap is divided into three distinct development phases designed to grow commercial operations from a simple quiz helper to Cambodia's primary traffic safety platform:</w:t>
      </w:r>
    </w:p>
    <w:p>
      <w:pPr>
        <w:pStyle w:val="ListBullet"/>
        <w:spacing w:after="80"/>
      </w:pPr>
      <w:r>
        <w:rPr>
          <w:rFonts w:ascii="Google Sans" w:hAnsi="Google Sans"/>
          <w:b/>
        </w:rPr>
        <w:t xml:space="preserve">Phase 1: Bootstrapped Launch &amp; B2B Pilot (2026 - 2027): </w:t>
      </w:r>
      <w:r>
        <w:rPr>
          <w:rFonts w:ascii="Google Sans" w:hAnsi="Google Sans"/>
        </w:rPr>
        <w:t>Deploying the core Next.js web portal using our $50.00 initial tools budget. Partnering with 15 pilot driving schools in Phnom Penh to prove student success rates. Setting Teacher Pro pricing at $9.99 and School Plan pricing at $49.99.</w:t>
      </w:r>
    </w:p>
    <w:p>
      <w:pPr>
        <w:pStyle w:val="ListBullet"/>
        <w:spacing w:after="80"/>
      </w:pPr>
      <w:r>
        <w:rPr>
          <w:rFonts w:ascii="Google Sans" w:hAnsi="Google Sans"/>
          <w:b/>
        </w:rPr>
        <w:t xml:space="preserve">Phase 2: Regional Expansion &amp; API Integration (2028 - 2029): </w:t>
      </w:r>
      <w:r>
        <w:rPr>
          <w:rFonts w:ascii="Google Sans" w:hAnsi="Google Sans"/>
        </w:rPr>
        <w:t>Expanding software coverage to secondary provinces (Siem Reap, Battambang, Sihanoukville). Integrating a lightweight REST API for driving schools to sync student records automatically. Developing automated subscription renewal reminders.</w:t>
      </w:r>
    </w:p>
    <w:p>
      <w:pPr>
        <w:pStyle w:val="ListBullet"/>
        <w:spacing w:after="80"/>
      </w:pPr>
      <w:r>
        <w:rPr>
          <w:rFonts w:ascii="Google Sans" w:hAnsi="Google Sans"/>
          <w:b/>
        </w:rPr>
        <w:t xml:space="preserve">Phase 3: Public Sector Telemetry &amp; Safety Audits (2030 - 2031): </w:t>
      </w:r>
      <w:r>
        <w:rPr>
          <w:rFonts w:ascii="Google Sans" w:hAnsi="Google Sans"/>
        </w:rPr>
        <w:t>Collaborating with municipal transport offices to license traffic safety analytics. Providing aggregated, anonymous safety data (identifying which road signs have the lowest student comprehension rates) to national safety commissions. Introducing premium vehicle safety and fleet tracking tiers.</w:t>
      </w:r>
    </w:p>
    <w:p>
      <w:r>
        <w:br w:type="page"/>
      </w:r>
    </w:p>
    <w:p>
      <w:pPr>
        <w:pStyle w:val="Heading1"/>
        <w:keepNext/>
        <w:spacing w:before="360" w:after="120"/>
      </w:pPr>
      <w:r>
        <w:rPr>
          <w:rFonts w:ascii="Google Sans" w:hAnsi="Google Sans"/>
          <w:b/>
          <w:color w:val="000000"/>
          <w:sz w:val="28"/>
        </w:rPr>
        <w:t>7. Workflows &amp; Performance Auditing</w:t>
      </w:r>
    </w:p>
    <w:p>
      <w:r>
        <w:t>The following diagram illustrates KWD's user interaction, subscription boundaries, and data flows. All user actions are validated against database schemas to ensure quota compliance and secure analytics processing.</w:t>
      </w:r>
    </w:p>
    <w:p>
      <w:pPr>
        <w:jc w:val="center"/>
      </w:pPr>
      <w:r>
        <w:drawing>
          <wp:inline xmlns:a="http://schemas.openxmlformats.org/drawingml/2006/main" xmlns:pic="http://schemas.openxmlformats.org/drawingml/2006/picture">
            <wp:extent cx="5669280" cy="2319251"/>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669280" cy="2319251"/>
                    </a:xfrm>
                    <a:prstGeom prst="rect"/>
                  </pic:spPr>
                </pic:pic>
              </a:graphicData>
            </a:graphic>
          </wp:inline>
        </w:drawing>
      </w:r>
    </w:p>
    <w:p>
      <w:pPr>
        <w:spacing w:after="240"/>
        <w:jc w:val="center"/>
      </w:pPr>
      <w:r>
        <w:rPr>
          <w:rFonts w:ascii="Google Sans" w:hAnsi="Google Sans"/>
          <w:i/>
          <w:sz w:val="18"/>
        </w:rPr>
        <w:t>Figure 1.0: Technical Architecture and Commercial Operations Workflow</w:t>
      </w:r>
    </w:p>
    <w:p>
      <w:pPr>
        <w:pStyle w:val="Heading2"/>
        <w:keepNext/>
        <w:spacing w:before="280" w:after="80"/>
      </w:pPr>
      <w:r>
        <w:rPr>
          <w:rFonts w:ascii="Google Sans" w:hAnsi="Google Sans"/>
          <w:b/>
          <w:color w:val="000000"/>
          <w:sz w:val="24"/>
        </w:rPr>
        <w:t>Onboarding Workflow: Step-by-Step</w:t>
      </w:r>
    </w:p>
    <w:p>
      <w:pPr>
        <w:spacing w:after="60"/>
        <w:ind w:left="360"/>
      </w:pPr>
      <w:r>
        <w:rPr>
          <w:rFonts w:ascii="Google Sans" w:hAnsi="Google Sans"/>
          <w:b/>
        </w:rPr>
        <w:t xml:space="preserve">1.  </w:t>
      </w:r>
      <w:r>
        <w:rPr>
          <w:rFonts w:ascii="Google Sans" w:hAnsi="Google Sans"/>
        </w:rPr>
        <w:t>Admin configures subscription status for an instructor (e.g., active, trial, or school).</w:t>
      </w:r>
    </w:p>
    <w:p>
      <w:pPr>
        <w:spacing w:after="60"/>
        <w:ind w:left="360"/>
      </w:pPr>
      <w:r>
        <w:rPr>
          <w:rFonts w:ascii="Google Sans" w:hAnsi="Google Sans"/>
          <w:b/>
        </w:rPr>
        <w:t xml:space="preserve">2.  </w:t>
      </w:r>
      <w:r>
        <w:rPr>
          <w:rFonts w:ascii="Google Sans" w:hAnsi="Google Sans"/>
        </w:rPr>
        <w:t>Instructor logs in and receives quota limits based on the assigned subscription model.</w:t>
      </w:r>
    </w:p>
    <w:p>
      <w:pPr>
        <w:spacing w:after="60"/>
        <w:ind w:left="360"/>
      </w:pPr>
      <w:r>
        <w:rPr>
          <w:rFonts w:ascii="Google Sans" w:hAnsi="Google Sans"/>
          <w:b/>
        </w:rPr>
        <w:t xml:space="preserve">3.  </w:t>
      </w:r>
      <w:r>
        <w:rPr>
          <w:rFonts w:ascii="Google Sans" w:hAnsi="Google Sans"/>
        </w:rPr>
        <w:t>Instructor creates classrooms and adds students up to their tier quota limit (50 students for Teacher Pro, unlimited for School).</w:t>
      </w:r>
    </w:p>
    <w:p>
      <w:pPr>
        <w:spacing w:after="60"/>
        <w:ind w:left="360"/>
      </w:pPr>
      <w:r>
        <w:rPr>
          <w:rFonts w:ascii="Google Sans" w:hAnsi="Google Sans"/>
          <w:b/>
        </w:rPr>
        <w:t xml:space="preserve">4.  </w:t>
      </w:r>
      <w:r>
        <w:rPr>
          <w:rFonts w:ascii="Google Sans" w:hAnsi="Google Sans"/>
        </w:rPr>
        <w:t>Students access practice modules (solo, speed challenge, sign practice). The selection engine shuffles questions using standard seeds.</w:t>
      </w:r>
    </w:p>
    <w:p>
      <w:pPr>
        <w:spacing w:after="60"/>
        <w:ind w:left="360"/>
      </w:pPr>
      <w:r>
        <w:rPr>
          <w:rFonts w:ascii="Google Sans" w:hAnsi="Google Sans"/>
          <w:b/>
        </w:rPr>
        <w:t xml:space="preserve">5.  </w:t>
      </w:r>
      <w:r>
        <w:rPr>
          <w:rFonts w:ascii="Google Sans" w:hAnsi="Google Sans"/>
        </w:rPr>
        <w:t>System records student results, updating class analytics in real time.</w:t>
      </w:r>
    </w:p>
    <w:p>
      <w:pPr>
        <w:spacing w:after="60"/>
        <w:ind w:left="360"/>
      </w:pPr>
      <w:r>
        <w:rPr>
          <w:rFonts w:ascii="Google Sans" w:hAnsi="Google Sans"/>
          <w:b/>
        </w:rPr>
        <w:t xml:space="preserve">6.  </w:t>
      </w:r>
      <w:r>
        <w:rPr>
          <w:rFonts w:ascii="Google Sans" w:hAnsi="Google Sans"/>
        </w:rPr>
        <w:t>Instructor views analytics to identify weak student cohorts, ensuring high pass rates on official government examinations.</w:t>
      </w:r>
    </w:p>
    <w:p>
      <w:pPr>
        <w:spacing w:after="60"/>
        <w:ind w:left="360"/>
      </w:pPr>
      <w:r>
        <w:rPr>
          <w:rFonts w:ascii="Google Sans" w:hAnsi="Google Sans"/>
          <w:b/>
        </w:rPr>
        <w:t xml:space="preserve">7.  </w:t>
      </w:r>
      <w:r>
        <w:rPr>
          <w:rFonts w:ascii="Google Sans" w:hAnsi="Google Sans"/>
        </w:rPr>
        <w:t>Subscription expires or undergoes manual renewal assessment via administrative dashboard.</w:t>
      </w:r>
    </w:p>
    <w:p>
      <w:pPr>
        <w:spacing w:after="120"/>
      </w:pPr>
    </w:p>
    <w:p>
      <w:pPr>
        <w:pStyle w:val="Heading2"/>
        <w:keepNext/>
        <w:spacing w:before="280" w:after="80"/>
      </w:pPr>
      <w:r>
        <w:rPr>
          <w:rFonts w:ascii="Google Sans" w:hAnsi="Google Sans"/>
          <w:b/>
          <w:color w:val="000000"/>
          <w:sz w:val="24"/>
        </w:rPr>
        <w:t>Platform Pricing and Quota Table</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2" w:space="0" w:color="CCCCCC"/>
          <w:left w:val="none"/>
          <w:right w:val="none"/>
          <w:insideV w:val="none"/>
        </w:tblBorders>
      </w:tblPr>
      <w:tblGrid>
        <w:gridCol w:w="1872"/>
        <w:gridCol w:w="1872"/>
        <w:gridCol w:w="1872"/>
        <w:gridCol w:w="1872"/>
        <w:gridCol w:w="1872"/>
      </w:tblGrid>
      <w:tr>
        <w:tc>
          <w:tcPr>
            <w:tcW w:type="dxa" w:w="1728"/>
            <w:tcMar>
              <w:top w:w="100" w:type="dxa"/>
              <w:bottom w:w="100" w:type="dxa"/>
              <w:left w:w="120" w:type="dxa"/>
              <w:right w:w="120" w:type="dxa"/>
            </w:tcMar>
            <w:shd w:fill="E0E0E0"/>
          </w:tcPr>
          <w:p>
            <w:pPr>
              <w:jc w:val="center"/>
            </w:pPr>
            <w:r>
              <w:rPr>
                <w:rFonts w:ascii="Google Sans" w:hAnsi="Google Sans"/>
                <w:b/>
                <w:sz w:val="19"/>
              </w:rPr>
              <w:t>Plan Tier</w:t>
            </w:r>
          </w:p>
        </w:tc>
        <w:tc>
          <w:tcPr>
            <w:tcW w:type="dxa" w:w="1728"/>
            <w:tcMar>
              <w:top w:w="100" w:type="dxa"/>
              <w:bottom w:w="100" w:type="dxa"/>
              <w:left w:w="120" w:type="dxa"/>
              <w:right w:w="120" w:type="dxa"/>
            </w:tcMar>
            <w:shd w:fill="E0E0E0"/>
          </w:tcPr>
          <w:p>
            <w:pPr>
              <w:jc w:val="center"/>
            </w:pPr>
            <w:r>
              <w:rPr>
                <w:rFonts w:ascii="Google Sans" w:hAnsi="Google Sans"/>
                <w:b/>
                <w:sz w:val="19"/>
              </w:rPr>
              <w:t>Monthly Price</w:t>
            </w:r>
          </w:p>
        </w:tc>
        <w:tc>
          <w:tcPr>
            <w:tcW w:type="dxa" w:w="1728"/>
            <w:tcMar>
              <w:top w:w="100" w:type="dxa"/>
              <w:bottom w:w="100" w:type="dxa"/>
              <w:left w:w="120" w:type="dxa"/>
              <w:right w:w="120" w:type="dxa"/>
            </w:tcMar>
            <w:shd w:fill="E0E0E0"/>
          </w:tcPr>
          <w:p>
            <w:pPr>
              <w:jc w:val="center"/>
            </w:pPr>
            <w:r>
              <w:rPr>
                <w:rFonts w:ascii="Google Sans" w:hAnsi="Google Sans"/>
                <w:b/>
                <w:sz w:val="19"/>
              </w:rPr>
              <w:t>Student Quota</w:t>
            </w:r>
          </w:p>
        </w:tc>
        <w:tc>
          <w:tcPr>
            <w:tcW w:type="dxa" w:w="1728"/>
            <w:tcMar>
              <w:top w:w="100" w:type="dxa"/>
              <w:bottom w:w="100" w:type="dxa"/>
              <w:left w:w="120" w:type="dxa"/>
              <w:right w:w="120" w:type="dxa"/>
            </w:tcMar>
            <w:shd w:fill="E0E0E0"/>
          </w:tcPr>
          <w:p>
            <w:pPr>
              <w:jc w:val="center"/>
            </w:pPr>
            <w:r>
              <w:rPr>
                <w:rFonts w:ascii="Google Sans" w:hAnsi="Google Sans"/>
                <w:b/>
                <w:sz w:val="19"/>
              </w:rPr>
              <w:t>Classroom Quota</w:t>
            </w:r>
          </w:p>
        </w:tc>
        <w:tc>
          <w:tcPr>
            <w:tcW w:type="dxa" w:w="2448"/>
            <w:tcMar>
              <w:top w:w="100" w:type="dxa"/>
              <w:bottom w:w="100" w:type="dxa"/>
              <w:left w:w="120" w:type="dxa"/>
              <w:right w:w="120" w:type="dxa"/>
            </w:tcMar>
            <w:shd w:fill="E0E0E0"/>
          </w:tcPr>
          <w:p>
            <w:pPr>
              <w:jc w:val="left"/>
            </w:pPr>
            <w:r>
              <w:rPr>
                <w:rFonts w:ascii="Google Sans" w:hAnsi="Google Sans"/>
                <w:b/>
                <w:sz w:val="19"/>
              </w:rPr>
              <w:t>Key Feature Access</w:t>
            </w:r>
          </w:p>
        </w:tc>
      </w:tr>
      <w:tr>
        <w:tc>
          <w:tcPr>
            <w:tcW w:type="dxa" w:w="1728"/>
            <w:tcMar>
              <w:top w:w="100" w:type="dxa"/>
              <w:bottom w:w="100" w:type="dxa"/>
              <w:left w:w="120" w:type="dxa"/>
              <w:right w:w="120" w:type="dxa"/>
            </w:tcMar>
          </w:tcPr>
          <w:p>
            <w:pPr>
              <w:jc w:val="center"/>
            </w:pPr>
            <w:r>
              <w:rPr>
                <w:rFonts w:ascii="Google Sans" w:hAnsi="Google Sans"/>
                <w:b w:val="0"/>
                <w:sz w:val="19"/>
              </w:rPr>
              <w:t>Free Plan</w:t>
            </w:r>
          </w:p>
        </w:tc>
        <w:tc>
          <w:tcPr>
            <w:tcW w:type="dxa" w:w="1728"/>
            <w:tcMar>
              <w:top w:w="100" w:type="dxa"/>
              <w:bottom w:w="100" w:type="dxa"/>
              <w:left w:w="120" w:type="dxa"/>
              <w:right w:w="120" w:type="dxa"/>
            </w:tcMar>
          </w:tcPr>
          <w:p>
            <w:pPr>
              <w:jc w:val="center"/>
            </w:pPr>
            <w:r>
              <w:rPr>
                <w:rFonts w:ascii="Google Sans" w:hAnsi="Google Sans"/>
                <w:b w:val="0"/>
                <w:sz w:val="19"/>
              </w:rPr>
              <w:t>$0.00 / mo</w:t>
            </w:r>
          </w:p>
        </w:tc>
        <w:tc>
          <w:tcPr>
            <w:tcW w:type="dxa" w:w="1728"/>
            <w:tcMar>
              <w:top w:w="100" w:type="dxa"/>
              <w:bottom w:w="100" w:type="dxa"/>
              <w:left w:w="120" w:type="dxa"/>
              <w:right w:w="120" w:type="dxa"/>
            </w:tcMar>
          </w:tcPr>
          <w:p>
            <w:pPr>
              <w:jc w:val="center"/>
            </w:pPr>
            <w:r>
              <w:rPr>
                <w:rFonts w:ascii="Google Sans" w:hAnsi="Google Sans"/>
                <w:b w:val="0"/>
                <w:sz w:val="19"/>
              </w:rPr>
              <w:t>0 Students</w:t>
            </w:r>
          </w:p>
        </w:tc>
        <w:tc>
          <w:tcPr>
            <w:tcW w:type="dxa" w:w="1728"/>
            <w:tcMar>
              <w:top w:w="100" w:type="dxa"/>
              <w:bottom w:w="100" w:type="dxa"/>
              <w:left w:w="120" w:type="dxa"/>
              <w:right w:w="120" w:type="dxa"/>
            </w:tcMar>
          </w:tcPr>
          <w:p>
            <w:pPr>
              <w:jc w:val="center"/>
            </w:pPr>
            <w:r>
              <w:rPr>
                <w:rFonts w:ascii="Google Sans" w:hAnsi="Google Sans"/>
                <w:b w:val="0"/>
                <w:sz w:val="19"/>
              </w:rPr>
              <w:t>0 Classrooms</w:t>
            </w:r>
          </w:p>
        </w:tc>
        <w:tc>
          <w:tcPr>
            <w:tcW w:type="dxa" w:w="2448"/>
            <w:tcMar>
              <w:top w:w="100" w:type="dxa"/>
              <w:bottom w:w="100" w:type="dxa"/>
              <w:left w:w="120" w:type="dxa"/>
              <w:right w:w="120" w:type="dxa"/>
            </w:tcMar>
          </w:tcPr>
          <w:p>
            <w:pPr>
              <w:jc w:val="left"/>
            </w:pPr>
            <w:r>
              <w:rPr>
                <w:rFonts w:ascii="Google Sans" w:hAnsi="Google Sans"/>
                <w:b w:val="0"/>
                <w:sz w:val="19"/>
              </w:rPr>
              <w:t>Read-Only Practice</w:t>
            </w:r>
          </w:p>
        </w:tc>
      </w:tr>
      <w:tr>
        <w:tc>
          <w:tcPr>
            <w:tcW w:type="dxa" w:w="1728"/>
            <w:tcMar>
              <w:top w:w="100" w:type="dxa"/>
              <w:bottom w:w="100" w:type="dxa"/>
              <w:left w:w="120" w:type="dxa"/>
              <w:right w:w="120" w:type="dxa"/>
            </w:tcMar>
          </w:tcPr>
          <w:p>
            <w:pPr>
              <w:jc w:val="center"/>
            </w:pPr>
            <w:r>
              <w:rPr>
                <w:rFonts w:ascii="Google Sans" w:hAnsi="Google Sans"/>
                <w:b w:val="0"/>
                <w:sz w:val="19"/>
              </w:rPr>
              <w:t>Teacher Pro</w:t>
            </w:r>
          </w:p>
        </w:tc>
        <w:tc>
          <w:tcPr>
            <w:tcW w:type="dxa" w:w="1728"/>
            <w:tcMar>
              <w:top w:w="100" w:type="dxa"/>
              <w:bottom w:w="100" w:type="dxa"/>
              <w:left w:w="120" w:type="dxa"/>
              <w:right w:w="120" w:type="dxa"/>
            </w:tcMar>
          </w:tcPr>
          <w:p>
            <w:pPr>
              <w:jc w:val="center"/>
            </w:pPr>
            <w:r>
              <w:rPr>
                <w:rFonts w:ascii="Google Sans" w:hAnsi="Google Sans"/>
                <w:b w:val="0"/>
                <w:sz w:val="19"/>
              </w:rPr>
              <w:t>$9.99 / mo</w:t>
            </w:r>
          </w:p>
        </w:tc>
        <w:tc>
          <w:tcPr>
            <w:tcW w:type="dxa" w:w="1728"/>
            <w:tcMar>
              <w:top w:w="100" w:type="dxa"/>
              <w:bottom w:w="100" w:type="dxa"/>
              <w:left w:w="120" w:type="dxa"/>
              <w:right w:w="120" w:type="dxa"/>
            </w:tcMar>
          </w:tcPr>
          <w:p>
            <w:pPr>
              <w:jc w:val="center"/>
            </w:pPr>
            <w:r>
              <w:rPr>
                <w:rFonts w:ascii="Google Sans" w:hAnsi="Google Sans"/>
                <w:b w:val="0"/>
                <w:sz w:val="19"/>
              </w:rPr>
              <w:t>50 Students</w:t>
            </w:r>
          </w:p>
        </w:tc>
        <w:tc>
          <w:tcPr>
            <w:tcW w:type="dxa" w:w="1728"/>
            <w:tcMar>
              <w:top w:w="100" w:type="dxa"/>
              <w:bottom w:w="100" w:type="dxa"/>
              <w:left w:w="120" w:type="dxa"/>
              <w:right w:w="120" w:type="dxa"/>
            </w:tcMar>
          </w:tcPr>
          <w:p>
            <w:pPr>
              <w:jc w:val="center"/>
            </w:pPr>
            <w:r>
              <w:rPr>
                <w:rFonts w:ascii="Google Sans" w:hAnsi="Google Sans"/>
                <w:b w:val="0"/>
                <w:sz w:val="19"/>
              </w:rPr>
              <w:t>5 Classrooms</w:t>
            </w:r>
          </w:p>
        </w:tc>
        <w:tc>
          <w:tcPr>
            <w:tcW w:type="dxa" w:w="2448"/>
            <w:tcMar>
              <w:top w:w="100" w:type="dxa"/>
              <w:bottom w:w="100" w:type="dxa"/>
              <w:left w:w="120" w:type="dxa"/>
              <w:right w:w="120" w:type="dxa"/>
            </w:tcMar>
          </w:tcPr>
          <w:p>
            <w:pPr>
              <w:jc w:val="left"/>
            </w:pPr>
            <w:r>
              <w:rPr>
                <w:rFonts w:ascii="Google Sans" w:hAnsi="Google Sans"/>
                <w:b w:val="0"/>
                <w:sz w:val="19"/>
              </w:rPr>
              <w:t>Analytics, Custom Content</w:t>
            </w:r>
          </w:p>
        </w:tc>
      </w:tr>
      <w:tr>
        <w:tc>
          <w:tcPr>
            <w:tcW w:type="dxa" w:w="1728"/>
            <w:tcMar>
              <w:top w:w="100" w:type="dxa"/>
              <w:bottom w:w="100" w:type="dxa"/>
              <w:left w:w="120" w:type="dxa"/>
              <w:right w:w="120" w:type="dxa"/>
            </w:tcMar>
          </w:tcPr>
          <w:p>
            <w:pPr>
              <w:jc w:val="center"/>
            </w:pPr>
            <w:r>
              <w:rPr>
                <w:rFonts w:ascii="Google Sans" w:hAnsi="Google Sans"/>
                <w:b w:val="0"/>
                <w:sz w:val="19"/>
              </w:rPr>
              <w:t>School Plan</w:t>
            </w:r>
          </w:p>
        </w:tc>
        <w:tc>
          <w:tcPr>
            <w:tcW w:type="dxa" w:w="1728"/>
            <w:tcMar>
              <w:top w:w="100" w:type="dxa"/>
              <w:bottom w:w="100" w:type="dxa"/>
              <w:left w:w="120" w:type="dxa"/>
              <w:right w:w="120" w:type="dxa"/>
            </w:tcMar>
          </w:tcPr>
          <w:p>
            <w:pPr>
              <w:jc w:val="center"/>
            </w:pPr>
            <w:r>
              <w:rPr>
                <w:rFonts w:ascii="Google Sans" w:hAnsi="Google Sans"/>
                <w:b w:val="0"/>
                <w:sz w:val="19"/>
              </w:rPr>
              <w:t>$49.99 / mo</w:t>
            </w:r>
          </w:p>
        </w:tc>
        <w:tc>
          <w:tcPr>
            <w:tcW w:type="dxa" w:w="1728"/>
            <w:tcMar>
              <w:top w:w="100" w:type="dxa"/>
              <w:bottom w:w="100" w:type="dxa"/>
              <w:left w:w="120" w:type="dxa"/>
              <w:right w:w="120" w:type="dxa"/>
            </w:tcMar>
          </w:tcPr>
          <w:p>
            <w:pPr>
              <w:jc w:val="center"/>
            </w:pPr>
            <w:r>
              <w:rPr>
                <w:rFonts w:ascii="Google Sans" w:hAnsi="Google Sans"/>
                <w:b w:val="0"/>
                <w:sz w:val="19"/>
              </w:rPr>
              <w:t>Unlimited</w:t>
            </w:r>
          </w:p>
        </w:tc>
        <w:tc>
          <w:tcPr>
            <w:tcW w:type="dxa" w:w="1728"/>
            <w:tcMar>
              <w:top w:w="100" w:type="dxa"/>
              <w:bottom w:w="100" w:type="dxa"/>
              <w:left w:w="120" w:type="dxa"/>
              <w:right w:w="120" w:type="dxa"/>
            </w:tcMar>
          </w:tcPr>
          <w:p>
            <w:pPr>
              <w:jc w:val="center"/>
            </w:pPr>
            <w:r>
              <w:rPr>
                <w:rFonts w:ascii="Google Sans" w:hAnsi="Google Sans"/>
                <w:b w:val="0"/>
                <w:sz w:val="19"/>
              </w:rPr>
              <w:t>Unlimited</w:t>
            </w:r>
          </w:p>
        </w:tc>
        <w:tc>
          <w:tcPr>
            <w:tcW w:type="dxa" w:w="2448"/>
            <w:tcMar>
              <w:top w:w="100" w:type="dxa"/>
              <w:bottom w:w="100" w:type="dxa"/>
              <w:left w:w="120" w:type="dxa"/>
              <w:right w:w="120" w:type="dxa"/>
            </w:tcMar>
          </w:tcPr>
          <w:p>
            <w:pPr>
              <w:jc w:val="left"/>
            </w:pPr>
            <w:r>
              <w:rPr>
                <w:rFonts w:ascii="Google Sans" w:hAnsi="Google Sans"/>
                <w:b w:val="0"/>
                <w:sz w:val="19"/>
              </w:rPr>
              <w:t>School-Wide Analytics, Bulk Tools</w:t>
            </w:r>
          </w:p>
        </w:tc>
      </w:tr>
    </w:tbl>
    <w:p>
      <w:r>
        <w:br w:type="page"/>
      </w:r>
    </w:p>
    <w:p>
      <w:pPr>
        <w:pStyle w:val="Heading1"/>
        <w:keepNext/>
        <w:spacing w:before="360" w:after="120"/>
      </w:pPr>
      <w:r>
        <w:rPr>
          <w:rFonts w:ascii="Google Sans" w:hAnsi="Google Sans"/>
          <w:b/>
          <w:color w:val="000000"/>
          <w:sz w:val="28"/>
        </w:rPr>
        <w:t>8. Financial Growth Forecast &amp; Charts</w:t>
      </w:r>
    </w:p>
    <w:p>
      <w:r>
        <w:t>KWD's financial trajectory is built on low infrastructure overhead and high subscription retention. The following charts compare projected active subscriber growth against monthly recurring revenue (MRR) over our five-year operational horizon. Our initial tool investment of $50.00 is recovered in Month 1.</w:t>
      </w:r>
    </w:p>
    <w:p>
      <w:pPr>
        <w:jc w:val="center"/>
      </w:pPr>
      <w:r>
        <w:drawing>
          <wp:inline xmlns:a="http://schemas.openxmlformats.org/drawingml/2006/main" xmlns:pic="http://schemas.openxmlformats.org/drawingml/2006/picture">
            <wp:extent cx="5669280" cy="3118104"/>
            <wp:docPr id="3" name="Picture 3"/>
            <wp:cNvGraphicFramePr>
              <a:graphicFrameLocks noChangeAspect="1"/>
            </wp:cNvGraphicFramePr>
            <a:graphic>
              <a:graphicData uri="http://schemas.openxmlformats.org/drawingml/2006/picture">
                <pic:pic>
                  <pic:nvPicPr>
                    <pic:cNvPr id="0" name="growth_chart.png"/>
                    <pic:cNvPicPr/>
                  </pic:nvPicPr>
                  <pic:blipFill>
                    <a:blip r:embed="rId12"/>
                    <a:stretch>
                      <a:fillRect/>
                    </a:stretch>
                  </pic:blipFill>
                  <pic:spPr>
                    <a:xfrm>
                      <a:off x="0" y="0"/>
                      <a:ext cx="5669280" cy="3118104"/>
                    </a:xfrm>
                    <a:prstGeom prst="rect"/>
                  </pic:spPr>
                </pic:pic>
              </a:graphicData>
            </a:graphic>
          </wp:inline>
        </w:drawing>
      </w:r>
    </w:p>
    <w:p>
      <w:pPr>
        <w:spacing w:after="240"/>
        <w:jc w:val="center"/>
      </w:pPr>
      <w:r>
        <w:rPr>
          <w:rFonts w:ascii="Google Sans" w:hAnsi="Google Sans"/>
          <w:i/>
          <w:sz w:val="18"/>
        </w:rPr>
        <w:t>Figure 2.0: Five-Year Projected Growth: Subscriber Base and MRR Comparison</w:t>
      </w:r>
    </w:p>
    <w:p>
      <w:pPr>
        <w:spacing w:before="280" w:after="120"/>
        <w:jc w:val="left"/>
        <w:pBdr>
          <w:bottom w:val="single" w:sz="6" w:space="4" w:color="000000"/>
        </w:pBdr>
      </w:pPr>
      <w:r>
        <w:rPr>
          <w:rFonts w:ascii="Google Sans" w:hAnsi="Google Sans"/>
          <w:b/>
          <w:sz w:val="19"/>
        </w:rPr>
        <w:t>// FINANCIAL PROJECTION TELEMETRY // STATUS: ACTIVE // OPERATIONAL TELEMETRY</w:t>
      </w:r>
    </w:p>
    <w:tbl>
      <w:tblPr>
        <w:tblW w:type="auto" w:w="0"/>
        <w:jc w:val="center"/>
        <w:tblLayout w:type="fixed"/>
        <w:tblLook w:firstColumn="1" w:firstRow="1" w:lastColumn="0" w:lastRow="0" w:noHBand="0" w:noVBand="1" w:val="04A0"/>
      </w:tblPr>
      <w:tblGrid>
        <w:gridCol w:w="8640"/>
      </w:tblGrid>
      <w:tr>
        <w:tc>
          <w:tcPr>
            <w:tcW w:type="dxa" w:w="8640"/>
            <w:tcBorders>
              <w:top w:val="single" w:sz="8" w:space="0" w:color="000000"/>
              <w:left w:val="single" w:sz="18" w:space="0" w:color="000000"/>
              <w:bottom w:val="single" w:sz="8" w:space="0" w:color="000000"/>
              <w:right w:val="single" w:sz="8" w:space="0" w:color="000000"/>
            </w:tcBorders>
            <w:tcMar>
              <w:top w:w="140" w:type="dxa"/>
              <w:bottom w:w="140" w:type="dxa"/>
              <w:left w:w="200" w:type="dxa"/>
              <w:right w:w="200" w:type="dxa"/>
            </w:tcMar>
          </w:tcPr>
          <w:p>
            <w:pPr>
              <w:spacing w:before="40" w:after="80"/>
            </w:pPr>
            <w:r>
              <w:rPr>
                <w:rFonts w:ascii="Google Sans" w:hAnsi="Google Sans"/>
                <w:b/>
                <w:sz w:val="21"/>
              </w:rPr>
              <w:t>[HUD CALLOUT // OPERATIONS RATIO]</w:t>
              <w:br/>
            </w:r>
            <w:r>
              <w:rPr>
                <w:rFonts w:ascii="Google Sans" w:hAnsi="Google Sans"/>
                <w:i/>
                <w:sz w:val="20"/>
              </w:rPr>
              <w:t>Year 1 margins exceed 90% due to manual subscription processing and zero transaction fees. Year 5 projections maintain 85%+ margins while factoring in cloud database scaling, backup storage, and school relationship staff.</w:t>
            </w:r>
          </w:p>
        </w:tc>
      </w:tr>
    </w:tbl>
    <w:p>
      <w:pPr>
        <w:spacing w:after="120"/>
      </w:pPr>
    </w:p>
    <w:p>
      <w:r>
        <w:br w:type="page"/>
      </w:r>
    </w:p>
    <w:p>
      <w:pPr>
        <w:pStyle w:val="Heading1"/>
        <w:keepNext/>
        <w:spacing w:before="360" w:after="120"/>
      </w:pPr>
      <w:r>
        <w:rPr>
          <w:rFonts w:ascii="Google Sans" w:hAnsi="Google Sans"/>
          <w:b/>
          <w:color w:val="000000"/>
          <w:sz w:val="28"/>
        </w:rPr>
        <w:t>9. Appendix: Year 1 vs. Year 5 Telemetry</w:t>
      </w:r>
    </w:p>
    <w:p>
      <w:r>
        <w:t>The following table compares our primary metrics from the end of Year 1 against the end of Year 5. This data highlights KWD's high scalability and long-term investor appeal.</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2" w:space="0" w:color="CCCCCC"/>
          <w:left w:val="none"/>
          <w:right w:val="none"/>
          <w:insideV w:val="none"/>
        </w:tblBorders>
      </w:tblPr>
      <w:tblGrid>
        <w:gridCol w:w="2340"/>
        <w:gridCol w:w="2340"/>
        <w:gridCol w:w="2340"/>
        <w:gridCol w:w="2340"/>
      </w:tblGrid>
      <w:tr>
        <w:tc>
          <w:tcPr>
            <w:tcW w:type="dxa" w:w="2880"/>
            <w:tcMar>
              <w:top w:w="100" w:type="dxa"/>
              <w:bottom w:w="100" w:type="dxa"/>
              <w:left w:w="120" w:type="dxa"/>
              <w:right w:w="120" w:type="dxa"/>
            </w:tcMar>
            <w:shd w:fill="E0E0E0"/>
          </w:tcPr>
          <w:p>
            <w:pPr>
              <w:jc w:val="left"/>
            </w:pPr>
            <w:r>
              <w:rPr>
                <w:rFonts w:ascii="Google Sans" w:hAnsi="Google Sans"/>
                <w:b/>
                <w:sz w:val="19"/>
              </w:rPr>
              <w:t>Metric Category</w:t>
            </w:r>
          </w:p>
        </w:tc>
        <w:tc>
          <w:tcPr>
            <w:tcW w:type="dxa" w:w="2160"/>
            <w:tcMar>
              <w:top w:w="100" w:type="dxa"/>
              <w:bottom w:w="100" w:type="dxa"/>
              <w:left w:w="120" w:type="dxa"/>
              <w:right w:w="120" w:type="dxa"/>
            </w:tcMar>
            <w:shd w:fill="E0E0E0"/>
          </w:tcPr>
          <w:p>
            <w:pPr>
              <w:jc w:val="center"/>
            </w:pPr>
            <w:r>
              <w:rPr>
                <w:rFonts w:ascii="Google Sans" w:hAnsi="Google Sans"/>
                <w:b/>
                <w:sz w:val="19"/>
              </w:rPr>
              <w:t>Year 1 Output (2026)</w:t>
            </w:r>
          </w:p>
        </w:tc>
        <w:tc>
          <w:tcPr>
            <w:tcW w:type="dxa" w:w="2160"/>
            <w:tcMar>
              <w:top w:w="100" w:type="dxa"/>
              <w:bottom w:w="100" w:type="dxa"/>
              <w:left w:w="120" w:type="dxa"/>
              <w:right w:w="120" w:type="dxa"/>
            </w:tcMar>
            <w:shd w:fill="E0E0E0"/>
          </w:tcPr>
          <w:p>
            <w:pPr>
              <w:jc w:val="center"/>
            </w:pPr>
            <w:r>
              <w:rPr>
                <w:rFonts w:ascii="Google Sans" w:hAnsi="Google Sans"/>
                <w:b/>
                <w:sz w:val="19"/>
              </w:rPr>
              <w:t>Year 5 Output (2031)</w:t>
            </w:r>
          </w:p>
        </w:tc>
        <w:tc>
          <w:tcPr>
            <w:tcW w:type="dxa" w:w="2160"/>
            <w:tcMar>
              <w:top w:w="100" w:type="dxa"/>
              <w:bottom w:w="100" w:type="dxa"/>
              <w:left w:w="120" w:type="dxa"/>
              <w:right w:w="120" w:type="dxa"/>
            </w:tcMar>
            <w:shd w:fill="E0E0E0"/>
          </w:tcPr>
          <w:p>
            <w:pPr>
              <w:jc w:val="center"/>
            </w:pPr>
            <w:r>
              <w:rPr>
                <w:rFonts w:ascii="Google Sans" w:hAnsi="Google Sans"/>
                <w:b/>
                <w:sz w:val="19"/>
              </w:rPr>
              <w:t>Operational Delta (%)</w:t>
            </w:r>
          </w:p>
        </w:tc>
      </w:tr>
      <w:tr>
        <w:tc>
          <w:tcPr>
            <w:tcW w:type="dxa" w:w="2880"/>
            <w:tcMar>
              <w:top w:w="100" w:type="dxa"/>
              <w:bottom w:w="100" w:type="dxa"/>
              <w:left w:w="120" w:type="dxa"/>
              <w:right w:w="120" w:type="dxa"/>
            </w:tcMar>
          </w:tcPr>
          <w:p>
            <w:pPr>
              <w:jc w:val="left"/>
            </w:pPr>
            <w:r>
              <w:rPr>
                <w:rFonts w:ascii="Google Sans" w:hAnsi="Google Sans"/>
                <w:b w:val="0"/>
                <w:sz w:val="19"/>
              </w:rPr>
              <w:t>Active Subscribers</w:t>
            </w:r>
          </w:p>
        </w:tc>
        <w:tc>
          <w:tcPr>
            <w:tcW w:type="dxa" w:w="2160"/>
            <w:tcMar>
              <w:top w:w="100" w:type="dxa"/>
              <w:bottom w:w="100" w:type="dxa"/>
              <w:left w:w="120" w:type="dxa"/>
              <w:right w:w="120" w:type="dxa"/>
            </w:tcMar>
          </w:tcPr>
          <w:p>
            <w:pPr>
              <w:jc w:val="center"/>
            </w:pPr>
            <w:r>
              <w:rPr>
                <w:rFonts w:ascii="Google Sans" w:hAnsi="Google Sans"/>
                <w:b w:val="0"/>
                <w:sz w:val="19"/>
              </w:rPr>
              <w:t>120 accounts</w:t>
            </w:r>
          </w:p>
        </w:tc>
        <w:tc>
          <w:tcPr>
            <w:tcW w:type="dxa" w:w="2160"/>
            <w:tcMar>
              <w:top w:w="100" w:type="dxa"/>
              <w:bottom w:w="100" w:type="dxa"/>
              <w:left w:w="120" w:type="dxa"/>
              <w:right w:w="120" w:type="dxa"/>
            </w:tcMar>
          </w:tcPr>
          <w:p>
            <w:pPr>
              <w:jc w:val="center"/>
            </w:pPr>
            <w:r>
              <w:rPr>
                <w:rFonts w:ascii="Google Sans" w:hAnsi="Google Sans"/>
                <w:b w:val="0"/>
                <w:sz w:val="19"/>
              </w:rPr>
              <w:t>5,400 accounts</w:t>
            </w:r>
          </w:p>
        </w:tc>
        <w:tc>
          <w:tcPr>
            <w:tcW w:type="dxa" w:w="2160"/>
            <w:tcMar>
              <w:top w:w="100" w:type="dxa"/>
              <w:bottom w:w="100" w:type="dxa"/>
              <w:left w:w="120" w:type="dxa"/>
              <w:right w:w="120" w:type="dxa"/>
            </w:tcMar>
          </w:tcPr>
          <w:p>
            <w:pPr>
              <w:jc w:val="center"/>
            </w:pPr>
            <w:r>
              <w:rPr>
                <w:rFonts w:ascii="Google Sans" w:hAnsi="Google Sans"/>
                <w:b w:val="0"/>
                <w:sz w:val="19"/>
              </w:rPr>
              <w:t>+4,400%</w:t>
            </w:r>
          </w:p>
        </w:tc>
      </w:tr>
      <w:tr>
        <w:tc>
          <w:tcPr>
            <w:tcW w:type="dxa" w:w="2880"/>
            <w:tcMar>
              <w:top w:w="100" w:type="dxa"/>
              <w:bottom w:w="100" w:type="dxa"/>
              <w:left w:w="120" w:type="dxa"/>
              <w:right w:w="120" w:type="dxa"/>
            </w:tcMar>
          </w:tcPr>
          <w:p>
            <w:pPr>
              <w:jc w:val="left"/>
            </w:pPr>
            <w:r>
              <w:rPr>
                <w:rFonts w:ascii="Google Sans" w:hAnsi="Google Sans"/>
                <w:b w:val="0"/>
                <w:sz w:val="19"/>
              </w:rPr>
              <w:t>Monthly Recurring Revenue (MRR)</w:t>
            </w:r>
          </w:p>
        </w:tc>
        <w:tc>
          <w:tcPr>
            <w:tcW w:type="dxa" w:w="2160"/>
            <w:tcMar>
              <w:top w:w="100" w:type="dxa"/>
              <w:bottom w:w="100" w:type="dxa"/>
              <w:left w:w="120" w:type="dxa"/>
              <w:right w:w="120" w:type="dxa"/>
            </w:tcMar>
          </w:tcPr>
          <w:p>
            <w:pPr>
              <w:jc w:val="center"/>
            </w:pPr>
            <w:r>
              <w:rPr>
                <w:rFonts w:ascii="Google Sans" w:hAnsi="Google Sans"/>
                <w:b w:val="0"/>
                <w:sz w:val="19"/>
              </w:rPr>
              <w:t>$1,198.80</w:t>
            </w:r>
          </w:p>
        </w:tc>
        <w:tc>
          <w:tcPr>
            <w:tcW w:type="dxa" w:w="2160"/>
            <w:tcMar>
              <w:top w:w="100" w:type="dxa"/>
              <w:bottom w:w="100" w:type="dxa"/>
              <w:left w:w="120" w:type="dxa"/>
              <w:right w:w="120" w:type="dxa"/>
            </w:tcMar>
          </w:tcPr>
          <w:p>
            <w:pPr>
              <w:jc w:val="center"/>
            </w:pPr>
            <w:r>
              <w:rPr>
                <w:rFonts w:ascii="Google Sans" w:hAnsi="Google Sans"/>
                <w:b w:val="0"/>
                <w:sz w:val="19"/>
              </w:rPr>
              <w:t>$53,946.00</w:t>
            </w:r>
          </w:p>
        </w:tc>
        <w:tc>
          <w:tcPr>
            <w:tcW w:type="dxa" w:w="2160"/>
            <w:tcMar>
              <w:top w:w="100" w:type="dxa"/>
              <w:bottom w:w="100" w:type="dxa"/>
              <w:left w:w="120" w:type="dxa"/>
              <w:right w:w="120" w:type="dxa"/>
            </w:tcMar>
          </w:tcPr>
          <w:p>
            <w:pPr>
              <w:jc w:val="center"/>
            </w:pPr>
            <w:r>
              <w:rPr>
                <w:rFonts w:ascii="Google Sans" w:hAnsi="Google Sans"/>
                <w:b w:val="0"/>
                <w:sz w:val="19"/>
              </w:rPr>
              <w:t>+4,400%</w:t>
            </w:r>
          </w:p>
        </w:tc>
      </w:tr>
      <w:tr>
        <w:tc>
          <w:tcPr>
            <w:tcW w:type="dxa" w:w="2880"/>
            <w:tcMar>
              <w:top w:w="100" w:type="dxa"/>
              <w:bottom w:w="100" w:type="dxa"/>
              <w:left w:w="120" w:type="dxa"/>
              <w:right w:w="120" w:type="dxa"/>
            </w:tcMar>
          </w:tcPr>
          <w:p>
            <w:pPr>
              <w:jc w:val="left"/>
            </w:pPr>
            <w:r>
              <w:rPr>
                <w:rFonts w:ascii="Google Sans" w:hAnsi="Google Sans"/>
                <w:b w:val="0"/>
                <w:sz w:val="19"/>
              </w:rPr>
              <w:t>Annual Gross Revenue</w:t>
            </w:r>
          </w:p>
        </w:tc>
        <w:tc>
          <w:tcPr>
            <w:tcW w:type="dxa" w:w="2160"/>
            <w:tcMar>
              <w:top w:w="100" w:type="dxa"/>
              <w:bottom w:w="100" w:type="dxa"/>
              <w:left w:w="120" w:type="dxa"/>
              <w:right w:w="120" w:type="dxa"/>
            </w:tcMar>
          </w:tcPr>
          <w:p>
            <w:pPr>
              <w:jc w:val="center"/>
            </w:pPr>
            <w:r>
              <w:rPr>
                <w:rFonts w:ascii="Google Sans" w:hAnsi="Google Sans"/>
                <w:b w:val="0"/>
                <w:sz w:val="19"/>
              </w:rPr>
              <w:t>$14,385.60</w:t>
            </w:r>
          </w:p>
        </w:tc>
        <w:tc>
          <w:tcPr>
            <w:tcW w:type="dxa" w:w="2160"/>
            <w:tcMar>
              <w:top w:w="100" w:type="dxa"/>
              <w:bottom w:w="100" w:type="dxa"/>
              <w:left w:w="120" w:type="dxa"/>
              <w:right w:w="120" w:type="dxa"/>
            </w:tcMar>
          </w:tcPr>
          <w:p>
            <w:pPr>
              <w:jc w:val="center"/>
            </w:pPr>
            <w:r>
              <w:rPr>
                <w:rFonts w:ascii="Google Sans" w:hAnsi="Google Sans"/>
                <w:b w:val="0"/>
                <w:sz w:val="19"/>
              </w:rPr>
              <w:t>$647,352.00</w:t>
            </w:r>
          </w:p>
        </w:tc>
        <w:tc>
          <w:tcPr>
            <w:tcW w:type="dxa" w:w="2160"/>
            <w:tcMar>
              <w:top w:w="100" w:type="dxa"/>
              <w:bottom w:w="100" w:type="dxa"/>
              <w:left w:w="120" w:type="dxa"/>
              <w:right w:w="120" w:type="dxa"/>
            </w:tcMar>
          </w:tcPr>
          <w:p>
            <w:pPr>
              <w:jc w:val="center"/>
            </w:pPr>
            <w:r>
              <w:rPr>
                <w:rFonts w:ascii="Google Sans" w:hAnsi="Google Sans"/>
                <w:b w:val="0"/>
                <w:sz w:val="19"/>
              </w:rPr>
              <w:t>+4,400%</w:t>
            </w:r>
          </w:p>
        </w:tc>
      </w:tr>
      <w:tr>
        <w:tc>
          <w:tcPr>
            <w:tcW w:type="dxa" w:w="2880"/>
            <w:tcMar>
              <w:top w:w="100" w:type="dxa"/>
              <w:bottom w:w="100" w:type="dxa"/>
              <w:left w:w="120" w:type="dxa"/>
              <w:right w:w="120" w:type="dxa"/>
            </w:tcMar>
          </w:tcPr>
          <w:p>
            <w:pPr>
              <w:jc w:val="left"/>
            </w:pPr>
            <w:r>
              <w:rPr>
                <w:rFonts w:ascii="Google Sans" w:hAnsi="Google Sans"/>
                <w:b w:val="0"/>
                <w:sz w:val="19"/>
              </w:rPr>
              <w:t>Operating Costs</w:t>
            </w:r>
          </w:p>
        </w:tc>
        <w:tc>
          <w:tcPr>
            <w:tcW w:type="dxa" w:w="2160"/>
            <w:tcMar>
              <w:top w:w="100" w:type="dxa"/>
              <w:bottom w:w="100" w:type="dxa"/>
              <w:left w:w="120" w:type="dxa"/>
              <w:right w:w="120" w:type="dxa"/>
            </w:tcMar>
          </w:tcPr>
          <w:p>
            <w:pPr>
              <w:jc w:val="center"/>
            </w:pPr>
            <w:r>
              <w:rPr>
                <w:rFonts w:ascii="Google Sans" w:hAnsi="Google Sans"/>
                <w:b w:val="0"/>
                <w:sz w:val="19"/>
              </w:rPr>
              <w:t>$50.00</w:t>
            </w:r>
          </w:p>
        </w:tc>
        <w:tc>
          <w:tcPr>
            <w:tcW w:type="dxa" w:w="2160"/>
            <w:tcMar>
              <w:top w:w="100" w:type="dxa"/>
              <w:bottom w:w="100" w:type="dxa"/>
              <w:left w:w="120" w:type="dxa"/>
              <w:right w:w="120" w:type="dxa"/>
            </w:tcMar>
          </w:tcPr>
          <w:p>
            <w:pPr>
              <w:jc w:val="center"/>
            </w:pPr>
            <w:r>
              <w:rPr>
                <w:rFonts w:ascii="Google Sans" w:hAnsi="Google Sans"/>
                <w:b w:val="0"/>
                <w:sz w:val="19"/>
              </w:rPr>
              <w:t>$2,400.00</w:t>
            </w:r>
          </w:p>
        </w:tc>
        <w:tc>
          <w:tcPr>
            <w:tcW w:type="dxa" w:w="2160"/>
            <w:tcMar>
              <w:top w:w="100" w:type="dxa"/>
              <w:bottom w:w="100" w:type="dxa"/>
              <w:left w:w="120" w:type="dxa"/>
              <w:right w:w="120" w:type="dxa"/>
            </w:tcMar>
          </w:tcPr>
          <w:p>
            <w:pPr>
              <w:jc w:val="center"/>
            </w:pPr>
            <w:r>
              <w:rPr>
                <w:rFonts w:ascii="Google Sans" w:hAnsi="Google Sans"/>
                <w:b w:val="0"/>
                <w:sz w:val="19"/>
              </w:rPr>
              <w:t>+4,700%</w:t>
            </w:r>
          </w:p>
        </w:tc>
      </w:tr>
      <w:tr>
        <w:tc>
          <w:tcPr>
            <w:tcW w:type="dxa" w:w="2880"/>
            <w:tcMar>
              <w:top w:w="100" w:type="dxa"/>
              <w:bottom w:w="100" w:type="dxa"/>
              <w:left w:w="120" w:type="dxa"/>
              <w:right w:w="120" w:type="dxa"/>
            </w:tcMar>
          </w:tcPr>
          <w:p>
            <w:pPr>
              <w:jc w:val="left"/>
            </w:pPr>
            <w:r>
              <w:rPr>
                <w:rFonts w:ascii="Google Sans" w:hAnsi="Google Sans"/>
                <w:b w:val="0"/>
                <w:sz w:val="19"/>
              </w:rPr>
              <w:t>Net Margin</w:t>
            </w:r>
          </w:p>
        </w:tc>
        <w:tc>
          <w:tcPr>
            <w:tcW w:type="dxa" w:w="2160"/>
            <w:tcMar>
              <w:top w:w="100" w:type="dxa"/>
              <w:bottom w:w="100" w:type="dxa"/>
              <w:left w:w="120" w:type="dxa"/>
              <w:right w:w="120" w:type="dxa"/>
            </w:tcMar>
          </w:tcPr>
          <w:p>
            <w:pPr>
              <w:jc w:val="center"/>
            </w:pPr>
            <w:r>
              <w:rPr>
                <w:rFonts w:ascii="Google Sans" w:hAnsi="Google Sans"/>
                <w:b w:val="0"/>
                <w:sz w:val="19"/>
              </w:rPr>
              <w:t>99.5%</w:t>
            </w:r>
          </w:p>
        </w:tc>
        <w:tc>
          <w:tcPr>
            <w:tcW w:type="dxa" w:w="2160"/>
            <w:tcMar>
              <w:top w:w="100" w:type="dxa"/>
              <w:bottom w:w="100" w:type="dxa"/>
              <w:left w:w="120" w:type="dxa"/>
              <w:right w:w="120" w:type="dxa"/>
            </w:tcMar>
          </w:tcPr>
          <w:p>
            <w:pPr>
              <w:jc w:val="center"/>
            </w:pPr>
            <w:r>
              <w:rPr>
                <w:rFonts w:ascii="Google Sans" w:hAnsi="Google Sans"/>
                <w:b w:val="0"/>
                <w:sz w:val="19"/>
              </w:rPr>
              <w:t>95.5%</w:t>
            </w:r>
          </w:p>
        </w:tc>
        <w:tc>
          <w:tcPr>
            <w:tcW w:type="dxa" w:w="2160"/>
            <w:tcMar>
              <w:top w:w="100" w:type="dxa"/>
              <w:bottom w:w="100" w:type="dxa"/>
              <w:left w:w="120" w:type="dxa"/>
              <w:right w:w="120" w:type="dxa"/>
            </w:tcMar>
          </w:tcPr>
          <w:p>
            <w:pPr>
              <w:jc w:val="center"/>
            </w:pPr>
            <w:r>
              <w:rPr>
                <w:rFonts w:ascii="Google Sans" w:hAnsi="Google Sans"/>
                <w:b w:val="0"/>
                <w:sz w:val="19"/>
              </w:rPr>
              <w:t>-4.0%</w:t>
            </w:r>
          </w:p>
        </w:tc>
      </w:tr>
    </w:tbl>
    <w:p>
      <w:pPr>
        <w:spacing w:after="240"/>
      </w:pPr>
    </w:p>
    <w:p>
      <w:pPr>
        <w:spacing w:before="480"/>
        <w:jc w:val="center"/>
      </w:pPr>
      <w:r>
        <w:rPr>
          <w:rFonts w:ascii="Google Sans" w:hAnsi="Google Sans"/>
          <w:b/>
          <w:sz w:val="19"/>
        </w:rPr>
        <w:t>// END OF REPORT // SYSTEM SECURE // KWD TELEMETRY TERMINATED //</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Google Sans" w:hAnsi="Google Sans"/>
        <w:sz w:val="17"/>
      </w:rPr>
      <w:t xml:space="preserve">KWD-SEC // </w:t>
    </w:r>
    <w:r>
      <w:rPr>
        <w:rFonts w:ascii="Google Sans" w:hAnsi="Google Sans"/>
        <w:sz w:val="17"/>
      </w:rPr>
      <w:fldChar w:fldCharType="begin"/>
      <w:instrText xml:space="preserve">PAGE</w:instrText>
      <w:fldChar w:fldCharType="separate"/>
      <w:fldChar w:fldCharType="end"/>
    </w:r>
    <w:r>
      <w:rPr>
        <w:rFonts w:ascii="Google Sans" w:hAnsi="Google Sans"/>
        <w:sz w:val="17"/>
      </w:rPr>
      <w:tab/>
      <w:tab/>
      <w:tab/>
      <w:tab/>
      <w:tab/>
      <w:tab/>
      <w:tab/>
      <w:tab/>
    </w:r>
    <w:r>
      <w:rPr>
        <w:rFonts w:ascii="Google Sans" w:hAnsi="Google Sans"/>
        <w:sz w:val="17"/>
      </w:rPr>
      <w:t xml:space="preserve">PAGE </w:t>
    </w:r>
    <w:r>
      <w:rPr>
        <w:rFonts w:ascii="Google Sans" w:hAnsi="Google Sans"/>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oogle Sans" w:hAnsi="Google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