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 </w:t>
      </w:r>
    </w:p>
    <w:p>
      <w:pPr>
        <w:spacing w:after="220" w:before="0"/>
        <w:jc w:val="center"/>
      </w:pPr>
      <w:r>
        <w:drawing>
          <wp:inline distT="0" distB="0" distL="0" distR="0">
            <wp:extent cx="1524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666666"/>
          <w:sz w:val="22"/>
          <w:szCs w:val="22"/>
        </w:rPr>
        <w:t xml:space="preserve">Kesararam With Digital</w:t>
      </w:r>
    </w:p>
    <w:p>
      <w:pPr>
        <w:spacing w:after="400" w:before="0"/>
        <w:jc w:val="center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36"/>
          <w:szCs w:val="36"/>
        </w:rPr>
        <w:t xml:space="preserve">KWD</w:t>
      </w:r>
    </w:p>
    <w:p>
      <w:pPr>
        <w:spacing w:after="140" w:before="0"/>
        <w:jc w:val="center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52"/>
          <w:szCs w:val="52"/>
        </w:rPr>
        <w:t xml:space="preserve">ផែនការអាជីវកម្ម</w:t>
      </w:r>
    </w:p>
    <w:p>
      <w:pPr>
        <w:spacing w:after="480" w:before="0"/>
        <w:jc w:val="center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666666"/>
          <w:sz w:val="22"/>
          <w:szCs w:val="22"/>
        </w:rPr>
        <w:t xml:space="preserve">យុទ្ធសាស្ត្រអភិវឌ្ឍន៍ និងភាពនិរន្តរ៍ឆ្នាំទី១ ដល់ឆ្នាំទី៥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oogle Sans" w:cs="Google Sans" w:eastAsia="Google Sans" w:hAnsi="Google Sans" w:hint="eastAsia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ឯកសារសម្រាប់</w:t>
            </w:r>
          </w:p>
        </w:tc>
        <w:tc>
          <w:tcPr>
            <w:tcW w:type="dxa" w:w="6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វិនិយោគិន · ដៃគូ · អ្នកឧបត្ថម្ភ · ក្រសួង · ដៃគូស្ថាប័ន</w:t>
            </w:r>
          </w:p>
        </w:tc>
      </w:tr>
      <w:t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oogle Sans" w:cs="Google Sans" w:eastAsia="Google Sans" w:hAnsi="Google Sans" w:hint="eastAsia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ក្រុមរៀបចំ</w:t>
            </w:r>
          </w:p>
        </w:tc>
        <w:tc>
          <w:tcPr>
            <w:tcW w:type="dxa" w:w="6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Technovation Girls Cambodia 2026 · Team #50777</w:t>
            </w:r>
          </w:p>
        </w:tc>
      </w:tr>
      <w:t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oogle Sans" w:cs="Google Sans" w:eastAsia="Google Sans" w:hAnsi="Google Sans" w:hint="eastAsia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កំណែឯកសារ</w:t>
            </w:r>
          </w:p>
        </w:tc>
        <w:tc>
          <w:tcPr>
            <w:tcW w:type="dxa" w:w="6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oogle Sans" w:cs="Google Sans" w:eastAsia="Google Sans" w:hAnsi="Google Sans" w:hint="eastAsia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កាលបរិច្ឆេទ</w:t>
            </w:r>
          </w:p>
        </w:tc>
        <w:tc>
          <w:tcPr>
            <w:tcW w:type="dxa" w:w="6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០៩ មិថុនា ២០២៦</w:t>
            </w:r>
          </w:p>
        </w:tc>
      </w:tr>
      <w:t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oogle Sans" w:cs="Google Sans" w:eastAsia="Google Sans" w:hAnsi="Google Sans" w:hint="eastAsia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លេខកូដឯកសារ</w:t>
            </w:r>
          </w:p>
        </w:tc>
        <w:tc>
          <w:tcPr>
            <w:tcW w:type="dxa" w:w="6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KWD-BPL-2026</w:t>
            </w:r>
          </w:p>
        </w:tc>
      </w:tr>
    </w:tbl>
    <w:p>
      <w:pPr>
        <w:spacing w:before="600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 </w:t>
      </w:r>
    </w:p>
    <w:p>
      <w:pPr>
        <w:spacing w:after="0" w:before="0"/>
        <w:jc w:val="center"/>
      </w:pPr>
      <w:r>
        <w:rPr>
          <w:rFonts w:ascii="Google Sans" w:cs="Google Sans" w:eastAsia="Google Sans" w:hAnsi="Google Sans" w:hint="eastAsia"/>
          <w:b w:val="false"/>
          <w:bCs w:val="false"/>
          <w:i/>
          <w:iCs/>
          <w:caps w:val="false"/>
          <w:color w:val="666666"/>
          <w:sz w:val="18"/>
          <w:szCs w:val="18"/>
        </w:rPr>
        <w:t xml:space="preserve">ឯកសារនេះបញ្ជូនពត៌មានសម្ងាត់ ឬទិន្នន័យផ្តាច់ខ្លួនរបស់អ្នកប្រើឡើយ។</w:t>
      </w:r>
    </w:p>
    <w:p>
      <w:r>
        <w:br w:type="page"/>
      </w:r>
    </w:p>
    <w:p>
      <w:pPr>
        <w:keepNext/>
        <w:pBdr>
          <w:bottom w:val="single" w:color="000000" w:sz="18" w:space="4"/>
        </w:pBdr>
        <w:spacing w:after="120" w:before="320" w:line="32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32"/>
          <w:szCs w:val="32"/>
        </w:rPr>
        <w:t xml:space="preserve">មាតិកា (Table of Contents)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8"/>
          <w:szCs w:val="8"/>
        </w:rPr>
        <w:t xml:space="preserve"> 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300"/>
      </w:tblGrid>
      <w:tr>
        <w:trPr>
          <w:tblHeader/>
        </w:trP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0000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0000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មាតិកា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១</w:t>
            </w:r>
          </w:p>
        </w:tc>
        <w:tc>
          <w:tcPr>
            <w:tcW w:type="dxa" w:w="8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សេចក្តីសង្ខេបប្រតិបត្តិ (Executive Summary)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២</w:t>
            </w:r>
          </w:p>
        </w:tc>
        <w:tc>
          <w:tcPr>
            <w:tcW w:type="dxa" w:w="8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សំណើតម្លៃប្លែកគ្នា (Unique Value Proposition)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៣</w:t>
            </w:r>
          </w:p>
        </w:tc>
        <w:tc>
          <w:tcPr>
            <w:tcW w:type="dxa" w:w="8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ដំណោះស្រាយ (Solution)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៤</w:t>
            </w:r>
          </w:p>
        </w:tc>
        <w:tc>
          <w:tcPr>
            <w:tcW w:type="dxa" w:w="8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គំរូអាជីវកម្ម (Business Model — Lean Canvas)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៥</w:t>
            </w:r>
          </w:p>
        </w:tc>
        <w:tc>
          <w:tcPr>
            <w:tcW w:type="dxa" w:w="8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ប្រភពចំណូល (Revenue Sources)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៦</w:t>
            </w:r>
          </w:p>
        </w:tc>
        <w:tc>
          <w:tcPr>
            <w:tcW w:type="dxa" w:w="8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ឱកាសទីផ្សារ និងអតិថិជនគោលដៅ (Market Opportunity)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៧</w:t>
            </w:r>
          </w:p>
        </w:tc>
        <w:tc>
          <w:tcPr>
            <w:tcW w:type="dxa" w:w="8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ការវិភាគដៃគូប្រកួតប្រជែង (Competitor Analysis)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៨</w:t>
            </w:r>
          </w:p>
        </w:tc>
        <w:tc>
          <w:tcPr>
            <w:tcW w:type="dxa" w:w="8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យុទ្ធសាស្ត្រចូលទីផ្សារ (Go-to-Market Strategy)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៩</w:t>
            </w:r>
          </w:p>
        </w:tc>
        <w:tc>
          <w:tcPr>
            <w:tcW w:type="dxa" w:w="8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យុទ្ធសាស្ត្រកំណត់តម្លៃ (Pricing Strategy)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១០</w:t>
            </w:r>
          </w:p>
        </w:tc>
        <w:tc>
          <w:tcPr>
            <w:tcW w:type="dxa" w:w="8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យុទ្ធសាស្ត្រទីផ្សារ (Marketing Strategy)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១១</w:t>
            </w:r>
          </w:p>
        </w:tc>
        <w:tc>
          <w:tcPr>
            <w:tcW w:type="dxa" w:w="8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ការបញ្ជាក់សុពលភាព (Articles &amp; Validation)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១២</w:t>
            </w:r>
          </w:p>
        </w:tc>
        <w:tc>
          <w:tcPr>
            <w:tcW w:type="dxa" w:w="8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ការព្យាករហិរញ្ញវត្ថុ (Financial Projection — Year 1-5)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១៣</w:t>
            </w:r>
          </w:p>
        </w:tc>
        <w:tc>
          <w:tcPr>
            <w:tcW w:type="dxa" w:w="8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ការណែនាំអ្នកប្រើប្រាស់ (User Walkthrough)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១៤</w:t>
            </w:r>
          </w:p>
        </w:tc>
        <w:tc>
          <w:tcPr>
            <w:tcW w:type="dxa" w:w="8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បច្ចេកទេស (Technical Architecture)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១៥</w:t>
            </w:r>
          </w:p>
        </w:tc>
        <w:tc>
          <w:tcPr>
            <w:tcW w:type="dxa" w:w="8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សកម្មភាព · ធនធាន · ទំនាក់ទំនង · ចំណាយ (Operations Canvas)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១៦</w:t>
            </w:r>
          </w:p>
        </w:tc>
        <w:tc>
          <w:tcPr>
            <w:tcW w:type="dxa" w:w="8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ផែនការអនុវត្ត (Implementation Plan)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១៧</w:t>
            </w:r>
          </w:p>
        </w:tc>
        <w:tc>
          <w:tcPr>
            <w:tcW w:type="dxa" w:w="8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អ្នកឧបត្ថម្ភសក្តានុពល (Potential Sponsors)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១៨</w:t>
            </w:r>
          </w:p>
        </w:tc>
        <w:tc>
          <w:tcPr>
            <w:tcW w:type="dxa" w:w="8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ផែនការអនាគត (Future Plan)</w:t>
            </w:r>
          </w:p>
        </w:tc>
      </w:tr>
    </w:tbl>
    <w:p>
      <w:pPr>
        <w:keepNext/>
        <w:pageBreakBefore/>
        <w:pBdr>
          <w:bottom w:val="single" w:color="000000" w:sz="18" w:space="4"/>
        </w:pBdr>
        <w:spacing w:after="120" w:before="320" w:line="32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32"/>
          <w:szCs w:val="32"/>
        </w:rPr>
        <w:t xml:space="preserve">១. សេចក្តីសង្ខេបប្រតិបត្តិ (Executive Summary)</w:t>
      </w:r>
    </w:p>
    <w:p>
      <w:pPr>
        <w:keepNext w:val="false"/>
        <w:spacing w:after="10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KWD (Kesararam With Digital) គឺជាប្រព័ន្ធអប់រំសុវត្ថិភាពចរាចរណ៍ឌីជីថលដែលផ្តោតទៅលើការផ្តល់ចំណេះដឹង បំណិន និងផ្នត់គំនិតទទួលខុសត្រូវដល់សិស្ស គ្រូបង្រៀន និងស្ថាប័នអប់រំក្នុងព្រះរាជាណាចក្រកម្ពុជា។ កម្មវិធីនេះត្រូវបានបង្កើតឡើងដោយក្រុមយុវនារីខ្មែរក្នុងនាមជាបេក្ខភាពនៃកម្មវិធី Technovation Girls Cambodia 2026 (Team #50777) ដោយរួមបញ្ចូលគ្នានូវការរៀន (Learn) ការអនុវត្ត (Practice) និងការប្រកួត (Compete)។</w:t>
      </w:r>
    </w:p>
    <w:p>
      <w:pPr>
        <w:keepNext w:val="false"/>
        <w:spacing w:after="10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យើងសម្គាល់ឃើញការគ្មាននៃខ្លឹមសារសុវត្ថិភាពចរាចរណ៍ដែលផ្តោតស្ថេរភាព ភាពងាយចូលប្រើ និងសុក្រឹតភាពនៅក្នុងវិស័យអប់រំខ្មែរ។ ៧៥% នៃយុវជនអាយុ ១៥-២៤ ឆ្នាំនៅកម្ពុជាប្រើប្រាស់ឧបករណ៍ឌីជីថលប្រចាំថ្ងៃ ប៉ុន្តែផ្នែកធំនៃខ្លឹមសារសុវត្ថិភាពចរាចរណ៍មិនមាននៅជាភាសាខ្មែរ និងមិនត្រូវបានរៀបចំតាមផ្នត់គំនិតការអប់រំទំនើបឡើយ។ KWD ឆ្លើយតបនឹងតម្រូវការនេះដោយផ្តល់ខ្លឹមសារដែលរៀបចំតាមរបៀបធ្វើដំណើររៀន (Learning Journey) គាំទ្រដោយ AI មាន Gamification ហើយអាចបន្តប្រើទៅអនាគត។</w:t>
      </w:r>
    </w:p>
    <w:p>
      <w:pPr>
        <w:keepNext w:val="false"/>
        <w:spacing w:after="10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KWD ដាក់ចេញនូវគំរូចំណូលដែលរំខានដោយ Subscription ៣ កម្រិត គឺ Teacher Pro ($10/ខែ) School Plan ($20/ខែ) និង Institute Plan ($49/ខែ)។ ដោយចំណាយប្រតិបត្តិការដំបូងត្រឹមតែ $50/ខែ ហើយត្រូវបានគ្រប់គ្រងដោយក្រុមការងារ ៧ នាក់ (សិស្ស ៥ នាក់ និងគ្រូបណ្តុះបណ្តាល ២ នាក់) KWD មានភាពធន់ខ្ពស់ក្នុងការសាកល្បងផលិតផល និងរីកចម្រើនទៅរក Profitability ក្នុងឆ្នាំទី ២។</w:t>
      </w:r>
    </w:p>
    <w:p>
      <w:pPr>
        <w:keepNext w:val="false"/>
        <w:spacing w:after="10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ការព្យាករហិរញ្ញវត្ថុបង្ហាញថា KWD នឹងបង្កើតចំណូលប្រមាណ $7,392 ក្នុងឆ្នាំទី ១ (Launch Year) ហើយឈានទៅដល់ $671,040 នៅឆ្នាំទី ៥ ដោយផ្តោតលើ Recurring Revenue, Customer Retention, និង Net Revenue Retention ខ្ពស់។ ការបង្កើតគំរូ Recurring Revenue គឺផ្តោតលើទ្រឹស្តី Self-Determination (Autonomy, Competence, Relatedness — Deci &amp; Ryan) ដែលផ្តល់ការលើកទឹកចិត្តដល់អ្នកប្រើប្រាស់ឲ្យរក្សាការប្រើប្រាស់យូរអង្វែង។</w:t>
      </w:r>
    </w:p>
    <w:p>
      <w:pPr>
        <w:keepNext w:val="false"/>
        <w:spacing w:after="10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KWD មិនត្រឹមតែជាផលិតផល SaaS ប៉ុណ្ណោះទេ ប៉ុន្តែជាហេដ្ឋារចនាសម្ព័ន្ធវប្បធម៌អប់រំសុវត្ថិភាពនៅកម្ពុជា ដែលអាចត្រូវរីកដុះដាលទៅរក Education Vertical ផ្សេងទៀតនៅអនាគត (Civic Tech, STEM, English Literacy)។</w:t>
      </w:r>
    </w:p>
    <w:p>
      <w:pPr>
        <w:keepNext/>
        <w:pageBreakBefore/>
        <w:pBdr>
          <w:bottom w:val="single" w:color="000000" w:sz="18" w:space="4"/>
        </w:pBdr>
        <w:spacing w:after="120" w:before="320" w:line="32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32"/>
          <w:szCs w:val="32"/>
        </w:rPr>
        <w:t xml:space="preserve">២. សំណើតម្លៃប្លែកគ្នា (Unique Value Proposition)</w:t>
      </w:r>
    </w:p>
    <w:p>
      <w:pPr>
        <w:keepNext w:val="false"/>
        <w:spacing w:after="140" w:before="80" w:line="320"/>
        <w:jc w:val="left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4"/>
          <w:szCs w:val="24"/>
        </w:rPr>
        <w:t xml:space="preserve">រៀន-អនុវត្ត-ប្រកួត តាមរបៀបឌីជីថល ដោយផ្តោតលើបរិបទខ្មែរ និងផ្នត់គំនិតអប់រំទំនើប</w:t>
      </w:r>
    </w:p>
    <w:p>
      <w:pPr>
        <w:keepNext/>
        <w:spacing w:after="60" w:before="160" w:line="30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២.1 ភាសាខ្មែរជាមូលដ្ឋាន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រាល់ខ្លឹមសារ ការប្រលង និងបទពិសោធន៍អ្នកប្រើប្រាស់ត្រូវរៀបចំជាភាសាខ្មែរដោយផ្តោតលើបរិបទវប្បធម៌ និងផ្លូវចរាចរណ៍កម្ពុជា។</w:t>
      </w:r>
    </w:p>
    <w:p>
      <w:pPr>
        <w:keepNext/>
        <w:spacing w:after="60" w:before="160" w:line="30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២.2 Gamification ផ្ទៀងផ្ទាត់ដោយវិទ្យាសាស្ត្រ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យើងអនុវត្តទ្រឹស្តី Flow State (Csikszentmihalyi) Variable Reward Loop (Eyal) និង Self-Determination (Deci &amp; Ryan) ដើម្បីបង្កើនការប្រកាន់ខ្ជាប់ (Retention) និងផ្ទុះការអប់រំ។</w:t>
      </w:r>
    </w:p>
    <w:p>
      <w:pPr>
        <w:keepNext/>
        <w:spacing w:after="60" w:before="160" w:line="30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២.3 AI Tutor ផ្ទាល់ខ្លួន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ប្រព័ន្ធផ្តល់ការណែនាំសាកសមតាមកម្រិតបច្ចុប្បន្នរបស់សិស្ស និងស្វែងរកចំណុចខ្សោយ ដើម្បីផ្តោតការអនុវត្ត។</w:t>
      </w:r>
    </w:p>
    <w:p>
      <w:pPr>
        <w:keepNext/>
        <w:spacing w:after="60" w:before="160" w:line="30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២.4 ការដំណើរការ Offline-first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អនុញ្ញាតឱ្យសិស្សក្នុងបណ្តាខេត្តខាងក្រៅអាចចូលប្រើបាន ដោយមិនបាច់ពឹងលើបណ្តាញអ៊ីនធឺណេតស្ថិរ។</w:t>
      </w:r>
    </w:p>
    <w:p>
      <w:pPr>
        <w:keepNext/>
        <w:spacing w:after="60" w:before="160" w:line="30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២.5 Multi-tier SaaS ដែលរីកធំជាមួយស្ថាប័ន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ពី Teacher Pro ទៅ Institute Plan គំរូអាជីវកម្មអាចចាប់ផ្តើមតូច ហើយរីកធំទៅរក B2B Government Contract។</w:t>
      </w:r>
    </w:p>
    <w:p>
      <w:pPr>
        <w:keepNext/>
        <w:pageBreakBefore/>
        <w:pBdr>
          <w:bottom w:val="single" w:color="000000" w:sz="18" w:space="4"/>
        </w:pBdr>
        <w:spacing w:after="120" w:before="320" w:line="32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32"/>
          <w:szCs w:val="32"/>
        </w:rPr>
        <w:t xml:space="preserve">៣. ដំណោះស្រាយ (Solution)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KWD ផ្តល់នូវវេទិកាបង្រៀន-ប្រលង-ប្រកួត ដែលរៀបចំជា ៣ ផ្នែកមូលដ្ឋាន ៖</w:t>
      </w:r>
    </w:p>
    <w:p>
      <w:pPr>
        <w:keepNext/>
        <w:spacing w:after="60" w:before="160" w:line="30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៣.1 រៀន (Learn)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មេរៀនវីដេអូ ខ្លឹមសារសរសេរ និង Quiz ដែលគ្របលើ ៨ ផ្នែកមុខវិជ្ជានៃច្បាប់ចរាចរណ៍ និងសុវត្ថិភាពចរាចរណ៍កម្ពុជា។ ខ្លឹមសារទាំងអស់ត្រូវសរសេរនិងផ្ទៀងផ្ទាត់ដោយបណ្តាញគ្រូបណ្តុះបណ្តាល ដោយយោងតាមច្បាប់ស្តាប័នជាតិ និងបទដ្ឋានសុវត្ថិភាពអន្តរជាតិ (WHO Global Status Report on Road Safety)។</w:t>
      </w:r>
    </w:p>
    <w:p>
      <w:pPr>
        <w:keepNext/>
        <w:spacing w:after="60" w:before="160" w:line="30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៣.2 អនុវត្ត (Practice)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ការប្រលងបែបពិតលើ ៣,៣០០ សំណួរ ដោយផ្តោតលើការសាកល្បងពិតប្រាកដនៃការប្រលងបាស់ផ្លូវដោយអាជ្ញាធរ ក្នុងបរិបទក្តៅៗ និងបរិបទយុទ្ធសាស្ត្រ។</w:t>
      </w:r>
    </w:p>
    <w:p>
      <w:pPr>
        <w:keepNext/>
        <w:spacing w:after="60" w:before="160" w:line="30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៣.3 ប្រកួត (Compete)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ការប្រកួតប្រចាំសប្តាហ៍ និងប្រចាំខែ ដែលផ្តល់រង្វាន់ឌីជីថល ការទទួលស្គាល់នៅក្នុងសហគមន៍ និងផ្តល់នូវការអនុវត្តទ្រឹស្តី Social Proof (Cialdini) ដើម្បីពង្រឹងការប្រកាន់ខ្ជាប់របស់សិស្ស។</w:t>
      </w:r>
    </w:p>
    <w:p>
      <w:pPr>
        <w:keepNext/>
        <w:pageBreakBefore/>
        <w:pBdr>
          <w:bottom w:val="single" w:color="000000" w:sz="18" w:space="4"/>
        </w:pBdr>
        <w:spacing w:after="120" w:before="320" w:line="32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32"/>
          <w:szCs w:val="32"/>
        </w:rPr>
        <w:t xml:space="preserve">៤. គំរូអាជីវកម្ម (Business Model — Lean Canvas)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KWD ប្រើប្រាស់គំរូ Lean Canvas (Ash Maurya) ផ្សំជាមួយគំរូ B2B/B2C Hybrid SaaS។ ការផ្តោតគឺ Recurring Revenue ដែលគាំទ្រដោយ Customer Lifetime Value (LTV) ខ្ពស់ និង Churn Rate ទាប។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8"/>
          <w:szCs w:val="8"/>
        </w:rPr>
        <w:t xml:space="preserve"> 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rPr>
          <w:tblHeader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0000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ប្លុក</w:t>
            </w:r>
          </w:p>
        </w:tc>
        <w:tc>
          <w:tcPr>
            <w:tcW w:type="dxa" w:w="6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0000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ខ្លឹមសារ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បញ្ហា</w:t>
            </w:r>
          </w:p>
        </w:tc>
        <w:tc>
          <w:tcPr>
            <w:tcW w:type="dxa" w:w="6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ការអវត្តមាននៃខ្លឹមសារសុវត្ថិភាពចរាចរណ៍ឌីជីថលជាភាសាខ្មែរ; អត្រាគ្រោះថ្នាក់ចរាចរណ៍ខ្ពស់ក្នុងចំណោមយុវជន; គ្រូបង្រៀនមិនមានឧបករណ៍ត្រឹមត្រូវ។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ដំណោះស្រាយ</w:t>
            </w:r>
          </w:p>
        </w:tc>
        <w:tc>
          <w:tcPr>
            <w:tcW w:type="dxa" w:w="6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វេទិកា Learn-Practice-Compete ដែលរួមបញ្ចូលគ្នានូវ AI Tutoring, Gamification និងខ្លឹមសារខ្មែរ។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សំណើតម្លៃប្លែកគ្នា</w:t>
            </w:r>
          </w:p>
        </w:tc>
        <w:tc>
          <w:tcPr>
            <w:tcW w:type="dxa" w:w="6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ខ្លឹមសារខ្មែរ ១០០% + AI ផ្ទាល់ខ្លួន + ការប្រកួតសហគមន៍; ផ្តោតលើបរិបទកម្ពុជា។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យុទ្ធសាស្ត្រប្រកួត</w:t>
            </w:r>
          </w:p>
        </w:tc>
        <w:tc>
          <w:tcPr>
            <w:tcW w:type="dxa" w:w="6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ការបង្កើតស្តង់ដារខ្លឹមសារដែលធ្វើឲ្យដៃគូប្រកួតពិបាកប្រកួត; ការបណ្តាក់ទុនទៅលើទិន្នន័យសិស្ស និងបណ្តាញគ្រូ។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ផ្នែកអតិថិជន</w:t>
            </w:r>
          </w:p>
        </w:tc>
        <w:tc>
          <w:tcPr>
            <w:tcW w:type="dxa" w:w="6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គ្រូបង្រៀន (B2C) — សាលា និងបណ្តាញសាលា (B2B) — ស្ថាប័នធំ (B2B Enterprise) — ក្រសួងអប់រំ (B2G)។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ប្រភពចំណូល</w:t>
            </w:r>
          </w:p>
        </w:tc>
        <w:tc>
          <w:tcPr>
            <w:tcW w:type="dxa" w:w="6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Subscription ៣ កម្រិត ($10, $20, $49/ខែ); Future: Government Contract, Corporate Sponsorship។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រចនាសម្ព័ន្ធចំណាយ</w:t>
            </w:r>
          </w:p>
        </w:tc>
        <w:tc>
          <w:tcPr>
            <w:tcW w:type="dxa" w:w="6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$50/ខែ ប្រតិបត្តិការ + ការវិនិយោគខ្លឹមសារ + ការវិនិយោគបណ្តាញ។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រង្វាស់សំខាន់</w:t>
            </w:r>
          </w:p>
        </w:tc>
        <w:tc>
          <w:tcPr>
            <w:tcW w:type="dxa" w:w="6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MRR, ARPU, LTV/CAC, Churn Rate, NPS, Daily Active Users, Course Completion Rate។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ឆានែលចែកចាយ</w:t>
            </w:r>
          </w:p>
        </w:tc>
        <w:tc>
          <w:tcPr>
            <w:tcW w:type="dxa" w:w="6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ផ្ទាល់តាមរយៈគ្រូ (Bottom-up); ដៃគូស្ថាប័ន (Top-down); ការប្រកួត Technovation; ប្រព័ន្ធផ្សព្វផ្សាយសង្គម។</w:t>
            </w:r>
          </w:p>
        </w:tc>
      </w:tr>
    </w:tbl>
    <w:p>
      <w:pPr>
        <w:keepNext/>
        <w:pageBreakBefore/>
        <w:pBdr>
          <w:bottom w:val="single" w:color="000000" w:sz="18" w:space="4"/>
        </w:pBdr>
        <w:spacing w:after="120" w:before="320" w:line="32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32"/>
          <w:szCs w:val="32"/>
        </w:rPr>
        <w:t xml:space="preserve">៥. ប្រភពចំណូល (Revenue Sources)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KWD ផ្តោតលើ Recurring Revenue Model ដែលផ្តល់ភាពមានប្រសិទ្ធភាពខ្ពស់ និង Predictability លើ Cashflow។ យើងផ្តោតលើ Customer Retention តាមរបៀប Hooked Model (Eyal) ដែលរួមមាន Trigger, Action, Variable Reward, Investment។</w:t>
      </w:r>
    </w:p>
    <w:p>
      <w:pPr>
        <w:keepNext/>
        <w:spacing w:after="80" w:before="220" w:line="30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6"/>
          <w:szCs w:val="26"/>
        </w:rPr>
        <w:t xml:space="preserve">៥.១ កម្រិត Subscription ៣ ជាន់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600"/>
        <w:gridCol w:w="3500"/>
      </w:tblGrid>
      <w:tr>
        <w:trPr>
          <w:tblHeader/>
        </w:trPr>
        <w:tc>
          <w:tcPr>
            <w:tcW w:type="dxa" w:w="1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0000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គម្រោង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0000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តម្លៃ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0000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ក្រុមអតិថិជន</w:t>
            </w:r>
          </w:p>
        </w:tc>
        <w:tc>
          <w:tcPr>
            <w:tcW w:type="dxa" w:w="3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0000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លក្ខណៈចូលរួម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Teacher Pro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$10 / ខែ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គ្រូបង្រៀននីមួយៗ</w:t>
            </w:r>
          </w:p>
        </w:tc>
        <w:tc>
          <w:tcPr>
            <w:tcW w:type="dxa" w:w="3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ការចូលដំណើរការ Curriculum ពេញលេញ + Quiz Bank + ការវាយតម្លៃសិស្ស + Reports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School Plan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$20 / ខែ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សាលាបឋមសិក្សា និងមធ្យមសិក្សា (Private/Public)</w:t>
            </w:r>
          </w:p>
        </w:tc>
        <w:tc>
          <w:tcPr>
            <w:tcW w:type="dxa" w:w="3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រួមបញ្ចូល Teacher Pro ៥ ឱកាស + Student Dashboard + Admin Panel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Institute Plan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$49 / ខែ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ស្ថាប័នធំ មហាវិទ្យាល័យ កម្មវិធីបណ្តុះបណ្តាល</w:t>
            </w:r>
          </w:p>
        </w:tc>
        <w:tc>
          <w:tcPr>
            <w:tcW w:type="dxa" w:w="3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ការ Customization + Single Sign-On + API Access + Dedicated Support</w:t>
            </w:r>
          </w:p>
        </w:tc>
      </w:tr>
    </w:tbl>
    <w:p>
      <w:pPr>
        <w:keepNext/>
        <w:spacing w:after="80" w:before="220" w:line="30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6"/>
          <w:szCs w:val="26"/>
        </w:rPr>
        <w:t xml:space="preserve">៥.២ ប្រភពចំណូលបន្ទាប់បន្សំ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Government Contracts (Year 3+) — បរិមាណធំ ផ្តួចផ្តើមដោយក្រសួងអប់រំ និងក្រសួងផ្លូវ និងដឹកជញ្ជូន។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Corporate Sponsorship — ក្រុមហ៊ុនធានារ៉ាប់រងគ្រោះថ្នាក់ចរាចរណ៍ ក្រុមហ៊ុនរថយន្ត ក្រុមហ៊ុនធនាគារ។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Certification Fees — ការផ្តល់វិញ្ញាបនបត្រ Digital Driver Safety Certification ($5/នាក់)។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Licensing និងការនាំចេញ Curriculum ទៅប្រទេសក្នុង ASEAN (Year 4-5)។</w:t>
      </w:r>
    </w:p>
    <w:p>
      <w:pPr>
        <w:keepNext/>
        <w:pageBreakBefore/>
        <w:pBdr>
          <w:bottom w:val="single" w:color="000000" w:sz="18" w:space="4"/>
        </w:pBdr>
        <w:spacing w:after="120" w:before="320" w:line="32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32"/>
          <w:szCs w:val="32"/>
        </w:rPr>
        <w:t xml:space="preserve">៦. ឱកាសទីផ្សារ និងអតិថិជនគោលដៅ (Market Opportunity)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ទីផ្សារសរុបនៅកម្ពុជាសម្រាប់ប្រព័ន្ធអប់រំសុវត្ថិភាពចរាចរណ៍ឌីជីថលគឺមានសក្តានុពលធំខ្លាំង។</w:t>
      </w:r>
    </w:p>
    <w:p>
      <w:pPr>
        <w:keepNext/>
        <w:spacing w:after="80" w:before="220" w:line="30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6"/>
          <w:szCs w:val="26"/>
        </w:rPr>
        <w:t xml:space="preserve">៦.១ ទំហំទីផ្សារ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TAM: </w:t>
      </w: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TAM (Total Addressable Market): ប្រជាជនវ័យសិក្សា ៣.៤ លាននាក់ + គ្រូបង្រៀន ១២០,០០០ នាក់ + សាលាប្រមាណ ១៣,៨០០ + ស្ថាប័នអប់រំធំប្រមាណ ៥០០។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SAM: </w:t>
      </w: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SAM (Serviceable Available Market): គ្រូបង្រៀនដែលប្រើប្រាស់ឧបករណ៍ឌីជីថលប្រចាំថ្ងៃប្រមាណ ៤០% (≈ ៤៨,០០០) និងសាលាដែលមាន Internet Access ប្រមាណ ៦៥% (≈ ៩,០០០)។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SOM: </w:t>
      </w: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SOM (Serviceable Obtainable Market — Year 5): Capture 10% នៃ SAM ≈ ៤,៨០០ គ្រូ + ៩០០ សាលា។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20" w:line="30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6"/>
          <w:szCs w:val="26"/>
        </w:rPr>
        <w:t xml:space="preserve">៦.២ អតិថិជនគោលដៅ (Target Audiences)</w:t>
      </w:r>
    </w:p>
    <w:p>
      <w:pPr>
        <w:keepNext/>
        <w:spacing w:after="60" w:before="160" w:line="30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៦.២.1 គ្រូបង្រៀន (២៥-៤៥ឆ្នាំ)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ត្រូវការឧបករណ៍ឌីជីថលដើម្បីបង្រៀនកាន់តែមានប្រសិទ្ធភាព; ផ្តោតលើ Self-Efficacy (Bandura) — បង្កើតទំនុកចិត្តលើបច្ចេកវិទ្យាដោយការផ្តល់ឱកាសសាកល្បង។</w:t>
      </w:r>
    </w:p>
    <w:p>
      <w:pPr>
        <w:keepNext/>
        <w:spacing w:after="60" w:before="160" w:line="30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៦.២.2 សិស្ស (១២-១៨ឆ្នាំ)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ស្វែងរកការអប់រំដែលគួរឲ្យជក់ចិត្ត; ផ្តោតលើ Intrinsic Motivation (Pink — Drive); ការប្រកួត និងការទទួលស្គាល់សង្គម។</w:t>
      </w:r>
    </w:p>
    <w:p>
      <w:pPr>
        <w:keepNext/>
        <w:spacing w:after="60" w:before="160" w:line="30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៦.២.3 សាលា Private/Public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ត្រូវការដំណោះស្រាយ Plug-and-Play ដែលអាចគ្រប់គ្រងបាន; ផ្តោតលើ Status Quo Bias — ត្រូវការ Risk Reduction និង Pilot Programs។</w:t>
      </w:r>
    </w:p>
    <w:p>
      <w:pPr>
        <w:keepNext/>
        <w:spacing w:after="60" w:before="160" w:line="30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៦.២.4 ស្ថាប័នធំ និងមហាវិទ្យាល័យ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ត្រូវការ Compliance និង Scalability; ផ្តោតលើ Loss Aversion (Kahneman) — Reframing: "ការមិនយក KWD គឺការខាតបង់ប្រសិទ្ធភាព"។</w:t>
      </w:r>
    </w:p>
    <w:p>
      <w:pPr>
        <w:keepNext/>
        <w:pageBreakBefore/>
        <w:pBdr>
          <w:bottom w:val="single" w:color="000000" w:sz="18" w:space="4"/>
        </w:pBdr>
        <w:spacing w:after="120" w:before="320" w:line="32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32"/>
          <w:szCs w:val="32"/>
        </w:rPr>
        <w:t xml:space="preserve">៧. ការវិភាគដៃគូប្រកួតប្រជែង (Competitor Analysis)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ទីផ្សារអប់រំសុវត្ថិភាពចរាចរណ៍ខ្មែរនៅឌីជីថលនៅឆ្នាំ ២០២៦ មានដៃគូប្រកួតប្រជែងតិចតួច។ KWD ផ្តោតលើគុណភាពខ្លឹមសារ និងបទពិសោធន៍អ្នកប្រើប្រាស់ដែលផ្តោតស្ថេរភាពយូរអង្វែង។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8"/>
          <w:szCs w:val="8"/>
        </w:rPr>
        <w:t xml:space="preserve"> 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16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0000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ដៃគូប្រកួត</w:t>
            </w:r>
          </w:p>
        </w:tc>
        <w:tc>
          <w:tcPr>
            <w:tcW w:type="dxa" w:w="3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0000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ភាពខុសប្លែក</w:t>
            </w:r>
          </w:p>
        </w:tc>
        <w:tc>
          <w:tcPr>
            <w:tcW w:type="dxa" w:w="1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0000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តម្លៃ</w:t>
            </w:r>
          </w:p>
        </w:tc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0000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អ្នកគោលដៅ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KWD</w:t>
            </w:r>
          </w:p>
        </w:tc>
        <w:tc>
          <w:tcPr>
            <w:tcW w:type="dxa" w:w="3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ខ្មែរ ១០០% + AI + Gamification + Subscription</w:t>
            </w:r>
          </w:p>
        </w:tc>
        <w:tc>
          <w:tcPr>
            <w:tcW w:type="dxa" w:w="1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$10–49/ខែ</w:t>
            </w:r>
          </w:p>
        </w:tc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B2C គ្រូ → B2B សាលា/ស្ថាប័ន → B2G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App ច្បាប់ចរាចរណ៍ខ្មែរផ្សេងៗ</w:t>
            </w:r>
          </w:p>
        </w:tc>
        <w:tc>
          <w:tcPr>
            <w:tcW w:type="dxa" w:w="3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PDF/Quiz Static; គ្មាន AI/Gamification</w:t>
            </w:r>
          </w:p>
        </w:tc>
        <w:tc>
          <w:tcPr>
            <w:tcW w:type="dxa" w:w="1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ឥតគិតថ្លៃ ឬ One-time</w:t>
            </w:r>
          </w:p>
        </w:tc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B2C ផ្ទាល់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YouTube/Facebook Page</w:t>
            </w:r>
          </w:p>
        </w:tc>
        <w:tc>
          <w:tcPr>
            <w:tcW w:type="dxa" w:w="3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វីដេអូឆ្ងាញ់ ប៉ុន្តែគ្មានរចនាសម្ព័ន្ធ</w:t>
            </w:r>
          </w:p>
        </w:tc>
        <w:tc>
          <w:tcPr>
            <w:tcW w:type="dxa" w:w="1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ឥតគិតថ្លៃ</w:t>
            </w:r>
          </w:p>
        </w:tc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B2C ផ្ទាល់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សៀវភៅសិក្សា &amp; ប្រលងបាស់ផ្លូវ</w:t>
            </w:r>
          </w:p>
        </w:tc>
        <w:tc>
          <w:tcPr>
            <w:tcW w:type="dxa" w:w="3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Offline Paper; គ្មានភាពងាយយល់</w:t>
            </w:r>
          </w:p>
        </w:tc>
        <w:tc>
          <w:tcPr>
            <w:tcW w:type="dxa" w:w="1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$5–10/លើក</w:t>
            </w:r>
          </w:p>
        </w:tc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B2C ផ្ទាល់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LMS អន្តរជាតិ (Coursera, Khan)</w:t>
            </w:r>
          </w:p>
        </w:tc>
        <w:tc>
          <w:tcPr>
            <w:tcW w:type="dxa" w:w="3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គ្មានខ្លឹមសារខ្មែរ ឬបរិបទកម្ពុជា</w:t>
            </w:r>
          </w:p>
        </w:tc>
        <w:tc>
          <w:tcPr>
            <w:tcW w:type="dxa" w:w="1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$0–$59/ខែ</w:t>
            </w:r>
          </w:p>
        </w:tc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B2C គ្រូ/សិស្ស</w:t>
            </w:r>
          </w:p>
        </w:tc>
      </w:tr>
    </w:tbl>
    <w:p>
      <w:pPr>
        <w:keepNext/>
        <w:spacing w:after="80" w:before="220" w:line="30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6"/>
          <w:szCs w:val="26"/>
        </w:rPr>
        <w:t xml:space="preserve">៧.១ Competitive Moat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Network Effects — បណ្តាញគ្រូ និងសិស្សកើនឡើងតម្លៃរបស់ KWD ជារៀងរាល់ដង (Reed Law)។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Switching Costs — ទិន្នន័យសិស្ស ការតាមដាន និងវឌ្ឍនភាពតាមដានដែលបាន Lock-in។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Brand Trust — ឯកសណ្ឋានជាមួយ Technovation Girls Cambodia 2026 ផ្តល់ Social Proof ខ្ពស់។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Content Moat — ៣,៣០០ សំណួរ + ៦០០ មេរៀននៅពេលចេញតង់ ហើយកើនឡើងជារៀងរាល់ខែ។</w:t>
      </w:r>
    </w:p>
    <w:p>
      <w:pPr>
        <w:keepNext/>
        <w:pageBreakBefore/>
        <w:pBdr>
          <w:bottom w:val="single" w:color="000000" w:sz="18" w:space="4"/>
        </w:pBdr>
        <w:spacing w:after="120" w:before="320" w:line="32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32"/>
          <w:szCs w:val="32"/>
        </w:rPr>
        <w:t xml:space="preserve">៨. យុទ្ធសាស្ត្រចូលទីផ្សារ (Go-to-Market Strategy)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យុទ្ធសាស្ត្រ GTM របស់ KWD ផ្តោតលើការបង្កើតគំនិត Bottom-Up (តាមរយៈគ្រូ) ផ្សំជាមួយ Top-Down (តាមរយៈដៃគូស្ថាប័ន)។</w:t>
      </w:r>
    </w:p>
    <w:p>
      <w:pPr>
        <w:keepNext/>
        <w:spacing w:after="80" w:before="220" w:line="30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6"/>
          <w:szCs w:val="26"/>
        </w:rPr>
        <w:t xml:space="preserve">៨.១ ព្រឹត្តិការណ៍ និងយុទ្ធនាការ (Events &amp; Campaign)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Technovation Girls Cambodia 2026 — ការចូលរួម Pitch Day និងការប្រកួត World Pitch ដែលផ្តល់ Media Exposure ខ្ពស់។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KWD Roadshow ប្រចាំខែ — សិក្ខាសាលាដោយឥតគិតថ្លៃនៅសាលាសម្រាប់គ្រូ និងអ្នកគ្រប់គ្រងសាលា។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Annual Khmer Digital Safety Summit — ការប្រកួតថ្នាក់ជាតិក្នុងការប្រលងសុវត្ថិភាពចរាចរណ៍ដោយឌីជីថល។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School Hackathons — ការប្រកួតប្រចាំខែដែលជំរុញការប្រើប្រាស់ KWD ក្នុងសាលា។</w:t>
      </w:r>
    </w:p>
    <w:p>
      <w:pPr>
        <w:keepNext/>
        <w:spacing w:after="80" w:before="220" w:line="30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6"/>
          <w:szCs w:val="26"/>
        </w:rPr>
        <w:t xml:space="preserve">៨.២ ការគាំទ្រពីរដ្ឋាភិបាល (Government Support)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ភាពជាដៃគូជាមួយក្រសួងផ្លូវ និងដឹកជញ្ជូន — KWD បានស្នើធ្វើជាដៃគូផ្តោតស្តង់ដារខ្លឹមសារ និងស្តង់ដារសុវត្ថិភាពចរាចរណ៍ឌីជីថល។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អនុស្សារណៈយោគយល់ (MoU) ជាមួយក្រសួងអប់រំ យុវជន និងកីឡា — ការដាក់បញ្ចូលក្នុង Co-Curricular Activities ផ្លូវការ។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Smart Cambodia Initiative — ការផ្តោតលើ Digital Cambodia 2030 និងវេទិកា SDG 4 (Quality Education) និង SDG 11 (Sustainable Cities)។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ទស្សនកិច្ច និងការផ្តល់ប្រឹក្សា — ក្នុងបណ្តាខេត្តស្ទើរទាំងអស់ KWD ស្នើធ្វើជាអ្នកផ្តល់ប្រឹក្សាដល់ Workplace Safety និងបណ្តាញចរាចរណ៍។</w:t>
      </w:r>
    </w:p>
    <w:p>
      <w:pPr>
        <w:keepNext/>
        <w:spacing w:after="80" w:before="220" w:line="30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6"/>
          <w:szCs w:val="26"/>
        </w:rPr>
        <w:t xml:space="preserve">៨.៣ ការគាំទ្រពីប្រព័ន្ធផ្សព្វផ្សាយ (Media Support)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Khmer Media Partnership — Hang Meas, BTV, និង Cambodia Daily ផ្តល់សម្ភាសន៍ និងការផ្សាយ KWD Stories។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Influencer Marketing — ការចូលរួមជាមួយ Tech YouTubers និង Educational Influencers (e.g., Sokha Sann, Khmer EduTube)។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Press Release ប្រចាំខែ — បង្ហាញ Milestones Adoption និងភាពសម្រេចជោគជ័យរបស់សិស្ស។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Podcast Hosting — Podcast ប្រចាំសប្តាហ៍ស្តីពីសុវត្ថិភាពចរាចរណ៍ និងបទពិសោធន៍គ្រូ។</w:t>
      </w:r>
    </w:p>
    <w:p>
      <w:pPr>
        <w:keepNext/>
        <w:spacing w:after="80" w:before="220" w:line="30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6"/>
          <w:szCs w:val="26"/>
        </w:rPr>
        <w:t xml:space="preserve">៨.៤ ភាពជាដៃគូ (Partnerships)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UNDP Digital X — KWD ស្ថិតនៅក្នុង Solutions Catalog របស់ Technovation Girls; ការផ្គូផ្គងទៅសហគមន៍អន្តរជាតិ។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World Bank / ADB Education Programs — ការផ្តល់មូលនិធិ និងបច្ចេកទេសសម្រាប់ SAM ខ្ពស់។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ដៃគូឯកជន — Smart Axiata, Wing Bank, ABA Bank — ការផ្តល់ Bandwidth ឥតគិតថ្លៃ និងការទូទាត់តាមលក្ខណៈឌីជីថល។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ដៃគូ NGO — UNICEF Cambodia, Save the Children, Plan International — ការផ្តោតលើ Girls in STEM។</w:t>
      </w:r>
    </w:p>
    <w:p>
      <w:pPr>
        <w:keepNext/>
        <w:pageBreakBefore/>
        <w:pBdr>
          <w:bottom w:val="single" w:color="000000" w:sz="18" w:space="4"/>
        </w:pBdr>
        <w:spacing w:after="120" w:before="320" w:line="32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32"/>
          <w:szCs w:val="32"/>
        </w:rPr>
        <w:t xml:space="preserve">៩. យុទ្ធសាស្ត្រកំណត់តម្លៃ (Pricing Strategy)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KWD ប្រើប្រាស់ Value-Based Pricing ដែលផ្តោតលើ Cost of Alternatives (សៀវភៅសិក្សា ការប្រលងបាស់ផ្លូវ ការខាតបង់ពីគ្រោះថ្នាក់) មិនមែនលើ Cost-Plus។</w:t>
      </w:r>
    </w:p>
    <w:p>
      <w:pPr>
        <w:keepNext/>
        <w:spacing w:after="80" w:before="220" w:line="30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6"/>
          <w:szCs w:val="26"/>
        </w:rPr>
        <w:t xml:space="preserve">៩.១ ការអនុវត្តទ្រឹស្តីផ្នត់គំនិតមនុស្ស (Pricing Psychology)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Anchoring Effect (Tversky &amp; Kahneman) — Institute Plan ($49) ដាក់ជា Anchor ដែលធ្វើឲ្យ School Plan ($20) ដូចជា "Most Popular Value"។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Decoy Effect — Teacher Pro ($10) គឺ Entry Point ដែលជំរុញ Upsell ទៅ School Plan ($20)។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Price Tiers ៣ — ផ្តោតលើ Goldilocks Effect (មនុស្សជ្រើសរើស Middle Option)។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Annual Discount 15% — បង្កើន Retention និង Cashflow Predictability។</w:t>
      </w:r>
    </w:p>
    <w:p>
      <w:pPr>
        <w:keepNext/>
        <w:spacing w:after="80" w:before="220" w:line="30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6"/>
          <w:szCs w:val="26"/>
        </w:rPr>
        <w:t xml:space="preserve">៩.២ យុទ្ធសាស្ត្រ Upgrade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KWD ប្រើ Land-and-Expand Strategy — ចាប់ផ្តើមជាមួយ Teacher Pro រួចបង្ហាញ Value Stack ហើយឈានទៅរក School និង Institute។</w:t>
      </w:r>
    </w:p>
    <w:p>
      <w:pPr>
        <w:keepNext/>
        <w:pageBreakBefore/>
        <w:pBdr>
          <w:bottom w:val="single" w:color="000000" w:sz="18" w:space="4"/>
        </w:pBdr>
        <w:spacing w:after="120" w:before="320" w:line="32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32"/>
          <w:szCs w:val="32"/>
        </w:rPr>
        <w:t xml:space="preserve">១០. យុទ្ធសាស្ត្រទីផ្សារ (Marketing Strategy)</w:t>
      </w:r>
    </w:p>
    <w:p>
      <w:pPr>
        <w:keepNext/>
        <w:spacing w:after="80" w:before="220" w:line="30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6"/>
          <w:szCs w:val="26"/>
        </w:rPr>
        <w:t xml:space="preserve">១០.១ ទីផ្សារតាមមាតិកា (Content Marketing)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Blog ប្រចាំសប្តាហ៍ស្តីពីសុវត្ថិភាពចរាចរណ៍ និង EdTech ខ្មែរ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YouTube Channel — "KWD Stories" និង "Khmer Driver Series"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Podcast — "ផ្លូវបើកបរ Podcast" សម្ភាសន៍គ្រូ និងសិស្ស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SEO សម្រាប់ Keywords ខ្មែរ — "សុវត្ថិភាពចរាចរណ៍" "ប្រលងបាស់ផ្លូវ" "ច្បាប់ចរាចរណ៍ខ្មែរ"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TikTok / Facebook Reels — Microcontent ៣០ វិនាទីពី Quiz Questions</w:t>
      </w:r>
    </w:p>
    <w:p>
      <w:pPr>
        <w:keepNext/>
        <w:spacing w:after="80" w:before="220" w:line="30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6"/>
          <w:szCs w:val="26"/>
        </w:rPr>
        <w:t xml:space="preserve">១០.២ ការរីកចម្រើនសហគមន៍ (Community Growth)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KWD Educator Network — បណ្តាញគ្រូ ៥០០+ ដោយឆ្នាំទី ៣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Annual Khmer Digital Safety Summit — ការប្រកួតថ្នាក់ជាតិ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Discord Server សម្រាប់ Power Users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Referral Program — គ្រូម្នាក់ៗដែលណែនាំ ២ គ្រូបន្ថែម ទទួលបាន ១ ខែឥតគិតថ្លៃ</w:t>
      </w:r>
    </w:p>
    <w:p>
      <w:pPr>
        <w:keepNext/>
        <w:spacing w:after="80" w:before="220" w:line="30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6"/>
          <w:szCs w:val="26"/>
        </w:rPr>
        <w:t xml:space="preserve">១០.៣ ឱកាសភាពជាដៃគូ (Partnership Opportunities)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Smart Axiata + Wing Bank — Bundle ជាមួយ Mobile Data Plans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រាជមហាវិទ្យាល័យភ្នំពេញ + Royal University of Phnom Penh — Internship Pipeline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NGOs — UNICEF, Save the Children — Co-funded Pilot Programs</w:t>
      </w:r>
    </w:p>
    <w:p>
      <w:pPr>
        <w:keepNext/>
        <w:spacing w:after="80" w:before="220" w:line="30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6"/>
          <w:szCs w:val="26"/>
        </w:rPr>
        <w:t xml:space="preserve">១០.៤ បំពង់បំប្លែង (Conversion Funnel)</w:t>
      </w:r>
    </w:p>
    <w:p>
      <w:pPr>
        <w:keepNext w:val="false"/>
        <w:spacing w:after="40" w:before="40" w:line="300"/>
        <w:jc w:val="left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1. </w:t>
      </w: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Awareness — Social Media, PR, ឋានៈ Technovation Girls</w:t>
      </w:r>
    </w:p>
    <w:p>
      <w:pPr>
        <w:keepNext w:val="false"/>
        <w:spacing w:after="40" w:before="40" w:line="300"/>
        <w:jc w:val="left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2. </w:t>
      </w: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Consideration — Free Trial 14 ថ្ងៃ, Webinar រាល់សប្តាហ៍</w:t>
      </w:r>
    </w:p>
    <w:p>
      <w:pPr>
        <w:keepNext w:val="false"/>
        <w:spacing w:after="40" w:before="40" w:line="300"/>
        <w:jc w:val="left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3. </w:t>
      </w: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Conversion — Onboarding-as-a-Service សម្រាប់សាលា Pilot</w:t>
      </w:r>
    </w:p>
    <w:p>
      <w:pPr>
        <w:keepNext w:val="false"/>
        <w:spacing w:after="40" w:before="40" w:line="300"/>
        <w:jc w:val="left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4. </w:t>
      </w: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Retention — Notifications, Streaks, Community</w:t>
      </w:r>
    </w:p>
    <w:p>
      <w:pPr>
        <w:keepNext w:val="false"/>
        <w:spacing w:after="40" w:before="40" w:line="300"/>
        <w:jc w:val="left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5. </w:t>
      </w: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Advocacy — NPS-Driven Referrals</w:t>
      </w:r>
    </w:p>
    <w:p>
      <w:pPr>
        <w:keepNext/>
        <w:pageBreakBefore/>
        <w:pBdr>
          <w:bottom w:val="single" w:color="000000" w:sz="18" w:space="4"/>
        </w:pBdr>
        <w:spacing w:after="120" w:before="320" w:line="32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32"/>
          <w:szCs w:val="32"/>
        </w:rPr>
        <w:t xml:space="preserve">១១. ការបញ្ជាក់សុពលភាព (Articles &amp; Validation)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KWD យោងលើទិន្នន័យ និងការស្រាវជ្រាវផ្លូវការដែលផ្ទៀងផ្ទាត់នូវឱកាសទីផ្សារ និងតម្រូវការសុវត្ថិភាពចរាចរណ៍ឌីជីថលនៅកម្ពុជា ៖</w:t>
      </w:r>
    </w:p>
    <w:p>
      <w:pPr>
        <w:keepNext w:val="false"/>
        <w:spacing w:after="40" w:before="40" w:line="300"/>
        <w:jc w:val="left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1. </w:t>
      </w: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WHO Global Status Report on Road Safety (2023): កម្ពុជាមានអត្រាស្លាប់ពីគ្រោះថ្នាក់ចរាចរណ៍ ១៧.៨ នាក់ក្នុង ១០០,០០០ — ខ្ពស់ជាងមធ្យមភាគរបស់អាស៊ីអាគ្នេយ៍។</w:t>
      </w:r>
    </w:p>
    <w:p>
      <w:pPr>
        <w:keepNext w:val="false"/>
        <w:spacing w:after="40" w:before="40" w:line="300"/>
        <w:jc w:val="left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2. </w:t>
      </w: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UNDP DigitalX Catalogs (digitalx.undp.org/catalogs/technovation-girls.html): ការប្រកាស់ឋានៈ Technovation Girls ជាដំណោះស្រាយឌីជីថលដែលត្រូវការបន្តរីក។</w:t>
      </w:r>
    </w:p>
    <w:p>
      <w:pPr>
        <w:keepNext w:val="false"/>
        <w:spacing w:after="40" w:before="40" w:line="300"/>
        <w:jc w:val="left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3. </w:t>
      </w: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Technovation.org Strategic Plan: ការប្តេជ្ញាផ្តល់ការបណ្តុះបណ្តាលដល់ ២៥ លានក្មេងស្រីដោយឆ្នាំ ២០៣៧ — KWD ចូលរួមដោយផ្តោតលើ Cambodia Vertical។</w:t>
      </w:r>
    </w:p>
    <w:p>
      <w:pPr>
        <w:keepNext w:val="false"/>
        <w:spacing w:after="40" w:before="40" w:line="300"/>
        <w:jc w:val="left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4. </w:t>
      </w: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UNESCO GEM Report 2026 — ក្មេងស្រីនៅក្នុង STEM (២៣%) មិនទាន់ស្មើគ្នាជាមួយក្មេងប្រុស (៤៨%) — KWD មានកម្មវិធីសម្រាប់ Gender Equality។</w:t>
      </w:r>
    </w:p>
    <w:p>
      <w:pPr>
        <w:keepNext w:val="false"/>
        <w:spacing w:after="40" w:before="40" w:line="300"/>
        <w:jc w:val="left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5. </w:t>
      </w: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World Bank — From Learning to Earnings: Cambodia Path from Foundational Learning to STEM (2026): ការផ្តោតលើ Digital STEM ផ្តល់ Employment Premium ២១%។</w:t>
      </w:r>
    </w:p>
    <w:p>
      <w:pPr>
        <w:keepNext w:val="false"/>
        <w:spacing w:after="40" w:before="40" w:line="300"/>
        <w:jc w:val="left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6. </w:t>
      </w: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MTLC — Technovation Challenge: ៧៨% នៃក្មេងស្រីបន្ទាប់ពីការចូលរួមមានចំណាប់អារម្មណ៍ខ្ពស់លើ Computer Science; ៦៥ ដង នៃអត្រាជាតិ ក្មេងស្រីសិក្សាមហាវិទ្យាល័យលើ CS។</w:t>
      </w:r>
    </w:p>
    <w:p>
      <w:pPr>
        <w:keepNext/>
        <w:pageBreakBefore/>
        <w:pBdr>
          <w:bottom w:val="single" w:color="000000" w:sz="18" w:space="4"/>
        </w:pBdr>
        <w:spacing w:after="120" w:before="320" w:line="32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32"/>
          <w:szCs w:val="32"/>
        </w:rPr>
        <w:t xml:space="preserve">១២. ការព្យាករហិរញ្ញវត្ថុ (Financial Projection — Year 1-5)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ការព្យាករហិរញ្ញវត្ថុរបស់ KWD ផ្តោតលើ Recurring Revenue Compounding ដោយផ្តោតលើ Customer Retention និងការកើនឡើងនៃ Average Revenue Per User (ARPU) តាមរយៈ Upsell ពី Teacher Pro ទៅ School Plan ហើយទៅ Institute Plan។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8"/>
          <w:szCs w:val="8"/>
        </w:rPr>
        <w:t xml:space="preserve"> 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0000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រង្វាស់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0000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ឆ្នាំទី ១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0000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ឆ្នាំទី ២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0000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ឆ្នាំទី ៣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0000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ឆ្នាំទី ៤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0000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ឆ្នាំទី ៥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Teacher Pro Subscribers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1,200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2,500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4,500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School Plan Subscribers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180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350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Institute Plan Subscribers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80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Total ARR (USD)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$7,392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$58,728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$173,784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$366,720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$671,040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Operating Cost (USD)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$7,600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$45,200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$104,400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$217,600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$394,800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Net Profit (USD)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-$208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+$13,528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+$69,384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+$149,120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+$276,240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78%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82%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85%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87%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88%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MRR (End of Year)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$616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$4,894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$14,482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$30,560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$55,920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LTV / CAC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2.1x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3.4x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4.8x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5.7x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6.5x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Churn Rate (Annual)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12%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8%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7%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Net Revenue Retention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105%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112%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118%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122%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125%</w:t>
            </w:r>
          </w:p>
        </w:tc>
      </w:tr>
    </w:tbl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8"/>
          <w:szCs w:val="8"/>
        </w:rPr>
        <w:t xml:space="preserve"> 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20" w:line="30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6"/>
          <w:szCs w:val="26"/>
        </w:rPr>
        <w:t xml:space="preserve">១២.១ សន្មត់ និងចំណាំ (Assumptions)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ការចំណាយប្រតិបត្តិការដំបូងគឺ $50/ខែ សម្រាប់ឧបករណ៍ Workspace + Cloud Hosting + Domain។ បន្ថែមផ្នែករដ្ឋបាល បទពិសោធន៍សិស្ស និងការផ្សព្វផ្សាយត្រូវបន្ថែម។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ការផ្តោតលើ Self-Determination Theory (Deci &amp; Ryan) — Autonomy, Competence, Relatedness — ផ្តល់នូវការកើនឡើងនៃ Daily Active Users (DAU) និង Course Completion Rate ខ្ពស់។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Habit Formation Loop (BJ Fogg, James Clear) — KWD បង្កើតការប្រើប្រាស់ប្រចាំថ្ងៃតាមរយៈ Notifications, Streaks, Social Comparison។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Net Revenue Retention &gt; 100% បង្ហាញពី Expansion Revenue ខ្ពស់តាមរយៈ Upsell ពី Teacher ទៅ School ទៅ Institute។</w:t>
      </w:r>
    </w:p>
    <w:p>
      <w:pPr>
        <w:keepNext/>
        <w:pageBreakBefore/>
        <w:pBdr>
          <w:bottom w:val="single" w:color="000000" w:sz="18" w:space="4"/>
        </w:pBdr>
        <w:spacing w:after="120" w:before="320" w:line="32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32"/>
          <w:szCs w:val="32"/>
        </w:rPr>
        <w:t xml:space="preserve">១៣. ការណែនាំអ្នកប្រើប្រាស់ (User Walkthrough)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ជំហានទី ១ — ការចុះឈ្មោះ និងការបង្ហាញខ្លួន (Onboarding) ៖ អ្នកប្រើប្រាស់ចុះឈ្មោះជាមួយ Email ឬលេខទូរស័ព្ទ; ការប្រកាសភាសា (ខ្មែរ/អង់គ្លេស); ការតេស្ត Diagnostic ដំបូងសម្រាប់ AI ដើម្បីកំណត់កម្រិត។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ជំហានទី ២ — Learn ៖ បទពិសោធន៍មេរៀនវីដេអូ និង Quiz ដែលរៀបចំជា Microlearning Modules ៥-៧ នាទីក្នុង Module នីមួយៗ — ផ្តោតលើ Cognitive Load Theory (Sweller)។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ជំហានទី ៣ — Practice ៖ Mock Test ដែលគ្រាប់សំណួរទាំងអស់ប្រែប្រួលដោយ AI; ការផ្តល់ Feedback ភ្លាមៗ; ការតាមដាន Mistake Patterns។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ជំហានទី ៤ — Compete ៖ ការប្រកួតប្រចាំសប្តាហ៍; Leaderboard តាមសាលា និងតាមខេត្ត; រង្វាន់ឌីជីថល និងវិញ្ញាបនបត្រ Achievement។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ជំហានទី ៥ — Track &amp; Improve ៖ Dashboard សម្រាប់ឪពុកម្ដាយ និងគ្រូ ដែលបង្ហាញ Progress, Strengths, Weaknesses; ការផ្តល់ការណែនាំ Personalized។</w:t>
      </w:r>
    </w:p>
    <w:p>
      <w:pPr>
        <w:keepNext/>
        <w:pageBreakBefore/>
        <w:pBdr>
          <w:bottom w:val="single" w:color="000000" w:sz="18" w:space="4"/>
        </w:pBdr>
        <w:spacing w:after="120" w:before="320" w:line="32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32"/>
          <w:szCs w:val="32"/>
        </w:rPr>
        <w:t xml:space="preserve">១៤. បច្ចេកទេស (Technical Architecture)</w:t>
      </w:r>
    </w:p>
    <w:p>
      <w:pPr>
        <w:keepNext/>
        <w:spacing w:after="60" w:before="160" w:line="30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១៤.១ Tech Stack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KWD ប្រើប្រាស់ Modern Cloud-Native Stack — Next.js + TypeScript + Tailwind CSS (Frontend); Node.js + tRPC (Backend); PostgreSQL + Drizzle ORM (Database); Vercel + Cloudflare (Deployment); OpenAI / Anthropic Claude API (AI Tutor)។</w:t>
      </w:r>
    </w:p>
    <w:p>
      <w:pPr>
        <w:keepNext/>
        <w:spacing w:after="60" w:before="160" w:line="30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១៤.២ ស្ថាបត្យកម្ម (Architecture)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រចនាសម្ព័ន្ធ Client-Server ផ្តោតលើ API និងបណ្តាញ Realtime ដើម្បីផ្តល់ភាពស្ថេរ និងសុវត្ថិភាព។ ស្រទាប់ Frontend - API/Realtime - Backend - Database។</w:t>
      </w:r>
    </w:p>
    <w:p>
      <w:pPr>
        <w:keepNext/>
        <w:spacing w:after="60" w:before="160" w:line="30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១៤.៣ សុវត្ថិភាព និងភាពឯកជន (Security &amp; Privacy)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ការផ្ទុកទិន្នន័យសិស្សត្រូវការការគោរព ISO 27001 និងបទដ្ឋាន PDPA Cambodia។ HTTPS/TLS 1.3 ភ្ជាប់ទាំងអស់; Encrypted Data at Rest; Multi-Factor Authentication សម្រាប់គ្រូ និងអ្នកគ្រប់គ្រង។</w:t>
      </w:r>
    </w:p>
    <w:p>
      <w:pPr>
        <w:keepNext/>
        <w:spacing w:after="60" w:before="160" w:line="30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១៤.៤ ការប្រើប្រាស់ Offline (PWA)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Progressive Web App (PWA) ដែលអនុញ្ញាតឱ្យសិស្សអាចចូលរៀននៅ Offline ហើយ Sync ពេលមាន Internet។</w:t>
      </w:r>
    </w:p>
    <w:p>
      <w:pPr>
        <w:keepNext/>
        <w:pageBreakBefore/>
        <w:pBdr>
          <w:bottom w:val="single" w:color="000000" w:sz="18" w:space="4"/>
        </w:pBdr>
        <w:spacing w:after="120" w:before="320" w:line="32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32"/>
          <w:szCs w:val="32"/>
        </w:rPr>
        <w:t xml:space="preserve">១៥. សកម្មភាព · ធនធាន · ទំនាក់ទំនង · ចំណាយ (Operations Canvas)</w:t>
      </w:r>
    </w:p>
    <w:p>
      <w:pPr>
        <w:keepNext/>
        <w:spacing w:after="80" w:before="220" w:line="30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6"/>
          <w:szCs w:val="26"/>
        </w:rPr>
        <w:t xml:space="preserve">១៥.១ សកម្មភាពសំខាន់ (Key Activities)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ការអភិវឌ្ឍ និងថែទាំខ្លឹមសារខ្មែរ (Curriculum Development)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ការអភិវឌ្ឍផលិតផល និង AI/ML Engineering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ការគ្រប់គ្រងសហគមន៍គ្រូ និងសិស្ស (Community Management)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ការផ្សព្វផ្សាយ និងការទាក់ទាញដៃគូ (BD &amp; Marketing)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ការគាំទ្រអតិថិជន (Customer Success)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ការវាយតម្លៃ និងវាស់វែងផលប៉ះពាល់ (Impact Measurement)</w:t>
      </w:r>
    </w:p>
    <w:p>
      <w:pPr>
        <w:keepNext/>
        <w:spacing w:after="80" w:before="220" w:line="30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6"/>
          <w:szCs w:val="26"/>
        </w:rPr>
        <w:t xml:space="preserve">១៥.២ ធនធានសំខាន់ (Key Resources)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ក្រុមការងារ ៧ នាក់ (សិស្ស ៥ នាក់ + គ្រូបណ្តុះបណ្តាល ២ នាក់) — ក្នុងឆ្នាំទី ១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បណ្តាញគ្រូឯករាជ្យ (Freelance Khmer Educators) សម្រាប់ការអភិវឌ្ឍខ្លឹមសារ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ទំនាក់ទំនងជាមួយ Technovation, UNDP DigitalX, និងបណ្តាញ Global Mentors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Cloud Infrastructure (Vercel, Cloudflare, PostgreSQL)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IP — Curriculum, Quiz Bank, AI Models</w:t>
      </w:r>
    </w:p>
    <w:p>
      <w:pPr>
        <w:keepNext/>
        <w:spacing w:after="80" w:before="220" w:line="30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6"/>
          <w:szCs w:val="26"/>
        </w:rPr>
        <w:t xml:space="preserve">១៥.៣ ទំនាក់ទំនងអតិថិជន (Customer Relationships)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Self-Service ផ្ទាល់សម្រាប់ Teacher Pro — Onboarding + Knowledge Base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Dedicated Account Manager សម្រាប់ School Plan និង Institute Plan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សហគមន៍ Discord/Telegram សម្រាប់គ្រូដែលបានចូលរួម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Annual KWD Educator Conference — ការផ្តោតលើ Belongingness (Maslow Level 3)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Loyalty Program សម្រាប់សិស្ស — Streaks, Badges, Rewards</w:t>
      </w:r>
    </w:p>
    <w:p>
      <w:pPr>
        <w:keepNext/>
        <w:spacing w:after="80" w:before="220" w:line="30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6"/>
          <w:szCs w:val="26"/>
        </w:rPr>
        <w:t xml:space="preserve">១៥.៤ រចនាសម្ព័ន្ធចំណាយ (Cost Structure)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រដ្ឋបាល/ប្រតិបត្តិការ Workspace ($50/ខែ — ឆ្នាំទី ១)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Cloud Infrastructure ($100-$2,000/ខែ ដោយ Scale)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Content Production ($500-$5,000/ខែ — Freelance Educators)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Marketing និង Community ($200-$8,000/ខែ)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Personnel (កើនពី ៧ ទៅ ១៤ នាក់ដោយឆ្នាំទី ៥)</w:t>
      </w:r>
    </w:p>
    <w:p>
      <w:pPr>
        <w:keepNext/>
        <w:pageBreakBefore/>
        <w:pBdr>
          <w:bottom w:val="single" w:color="000000" w:sz="18" w:space="4"/>
        </w:pBdr>
        <w:spacing w:after="120" w:before="320" w:line="32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32"/>
          <w:szCs w:val="32"/>
        </w:rPr>
        <w:t xml:space="preserve">១៦. ផែនការអនុវត្ត (Implementation Plan)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ផែនការអនុវត្តរបស់ KWD ត្រូវបានរៀបចំជា Quarterly Milestones ដើម្បីផ្តល់ភាពច្បាស់លាស់ និងភាពទទួលខុសត្រូវ ៖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8"/>
          <w:szCs w:val="8"/>
        </w:rPr>
        <w:t xml:space="preserve"> 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5300"/>
      </w:tblGrid>
      <w:tr>
        <w:trPr>
          <w:tblHeader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0000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ត្រីមាស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0000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ដំណាក់កាល</w:t>
            </w:r>
          </w:p>
        </w:tc>
        <w:tc>
          <w:tcPr>
            <w:tcW w:type="dxa" w:w="5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0000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លទ្ធផលគោលដៅ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Q3 2026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MVP Launch</w:t>
            </w:r>
          </w:p>
        </w:tc>
        <w:tc>
          <w:tcPr>
            <w:tcW w:type="dxa" w:w="5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បញ្ចេញ Beta ដល់ ៥០ គ្រូ Anchor; ការសាកល្បង AI Tutor V1; ការសម្រេច Brand Identity។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Q4 2026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School Plan Beta</w:t>
            </w:r>
          </w:p>
        </w:tc>
        <w:tc>
          <w:tcPr>
            <w:tcW w:type="dxa" w:w="5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ការផ្តោតលើ ៥ សាលា Pilot; ការវាស់វែង Course Completion Rate; ការត្រួតពិនិត្យ Product-Market Fit។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Q1 2027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Public Launch</w:t>
            </w:r>
          </w:p>
        </w:tc>
        <w:tc>
          <w:tcPr>
            <w:tcW w:type="dxa" w:w="5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ការផ្សព្វផ្សាយ Public; ការចូលរួមជាមួយ Smart Axiata; ការបញ្ចេញ Marketing Campaign។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Q2 2027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Institute Plan</w:t>
            </w:r>
          </w:p>
        </w:tc>
        <w:tc>
          <w:tcPr>
            <w:tcW w:type="dxa" w:w="5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ការផ្តោតលើ ៣ ស្ថាប័នធំ; ការអភិវឌ្ឍ SSO/API; ការដាក់ស្នើ MoU ជាមួយក្រសួងអប់រំ។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Q3-Q4 2027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Government Contract</w:t>
            </w:r>
          </w:p>
        </w:tc>
        <w:tc>
          <w:tcPr>
            <w:tcW w:type="dxa" w:w="5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ការផ្តោតលើ B2G Pilot ជាមួយក្រសួងផ្លូវ និងដឹកជញ្ជូន; ការចូលរួមជាមួយ UNDP DigitalX។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2028-2030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Scale &amp; Expand</w:t>
            </w:r>
          </w:p>
        </w:tc>
        <w:tc>
          <w:tcPr>
            <w:tcW w:type="dxa" w:w="5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Google Sans" w:cs="Google Sans" w:eastAsia="Google Sans" w:hAnsi="Google Sans" w:hint="eastAsia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ការបន្ថែម Verticals ផ្សេងៗ; Regional Expansion; Series A; ការរីករាលដាល Strategy។</w:t>
            </w:r>
          </w:p>
        </w:tc>
      </w:tr>
    </w:tbl>
    <w:p>
      <w:pPr>
        <w:keepNext/>
        <w:pageBreakBefore/>
        <w:pBdr>
          <w:bottom w:val="single" w:color="000000" w:sz="18" w:space="4"/>
        </w:pBdr>
        <w:spacing w:after="120" w:before="320" w:line="32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32"/>
          <w:szCs w:val="32"/>
        </w:rPr>
        <w:t xml:space="preserve">១៧. អ្នកឧបត្ថម្ភសក្តានុពល (Potential Sponsors)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KWD ស្វែងរកដៃគូ និងអ្នកឧបត្ថម្ភយុទ្ធសាស្ត្រដែលរួមចំណែកដោះស្រាយបញ្ហាសុវត្ថិភាពចរាចរណ៍ និងការអប់រំក្នុងព្រះរាជាណាចក្រកម្ពុជា ៖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Technovation Foundation — Grants, Mentorship, Global Exposure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UNDP Cambodia — Digital X Programs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UNICEF Cambodia — Girls in STEM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World Bank — From Learning to Earnings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ADB — Secondary Education for Human Capital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Google.org Impact Fund — AI for Social Good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Microsoft Philanthropies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Smart Axiata Foundation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Wing Bank — Digital Payment Sponsor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ABA Bank — Education Sponsor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Ministry of Education, Youth and Sport — Government Contract</w:t>
      </w:r>
    </w:p>
    <w:p>
      <w:pPr>
        <w:pStyle w:val="ListParagraph"/>
        <w:numPr>
          <w:ilvl w:val="0"/>
          <w:numId w:val="1"/>
        </w:numPr>
        <w:spacing w:after="40" w:before="40" w:line="300"/>
        <w:ind w:left="431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Ministry of Public Works and Transport — Curriculum Endorsement</w:t>
      </w:r>
    </w:p>
    <w:p>
      <w:pPr>
        <w:keepNext/>
        <w:pageBreakBefore/>
        <w:pBdr>
          <w:bottom w:val="single" w:color="000000" w:sz="18" w:space="4"/>
        </w:pBdr>
        <w:spacing w:after="120" w:before="320" w:line="32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32"/>
          <w:szCs w:val="32"/>
        </w:rPr>
        <w:t xml:space="preserve">១៨. ផែនការអនាគត (Future Plan)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KWD មានចក្ខុវិស័យរយៈពេលវែង ៥ ឆ្នាំដែលផ្តោតលើ Scalability, Retention, និង Education Vertical Expansion ៖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ឆ្នាំទី ១ (២០២៦) — MVP Launch — បញ្ចេញ Beta សម្រាប់ Teacher Pro; ចុះកិច្ចព្រមព្រៀង Pilot ជាមួយ ៣ សាលា Anchor។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ឆ្នាំទី ២ (២០២៧) — Product Maturity — បង្ហាញ School Plan ពេញលេញ និង AI Tutor V2; ចូលរួមជាមួយ Ministry of Education។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ឆ្នាំទី ៣ (២០២៨) — Institutional Scale — Institute Plan រួមជាមួយ SSO/API; ចូលដំណើរការ B2G Contracts ដំបូង។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ឆ្នាំទី ៤ (២០២៩) — Regional Expansion — Pilot នៅប្រទេសឡាវ និងវៀតណាម; ការផ្តោតលើ Curriculum Localization។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22"/>
          <w:szCs w:val="22"/>
        </w:rPr>
        <w:t xml:space="preserve">ឆ្នាំទី ៥ (២០៣០) — Education Vertical Expansion — បន្ថែម Curriculum លើ STEM, Civic Education, Health Literacy; Series A ($2-3M)។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000000"/>
          <w:sz w:val="12"/>
          <w:szCs w:val="12"/>
        </w:rPr>
        <w:t xml:space="preserve"> </w:t>
      </w:r>
    </w:p>
    <w:p>
      <w:pPr>
        <w:keepNext/>
        <w:spacing w:after="80" w:before="220" w:line="300"/>
      </w:pPr>
      <w:r>
        <w:rPr>
          <w:rFonts w:ascii="Google Sans" w:cs="Google Sans" w:eastAsia="Google Sans" w:hAnsi="Google Sans" w:hint="eastAsia"/>
          <w:b/>
          <w:bCs/>
          <w:i w:val="false"/>
          <w:iCs w:val="false"/>
          <w:caps w:val="false"/>
          <w:color w:val="000000"/>
          <w:sz w:val="26"/>
          <w:szCs w:val="26"/>
        </w:rPr>
        <w:t xml:space="preserve">បញ្ចប់ឯកសារ</w:t>
      </w:r>
    </w:p>
    <w:p>
      <w:pPr>
        <w:keepNext w:val="false"/>
        <w:spacing w:after="80" w:before="60" w:line="320"/>
        <w:jc w:val="left"/>
      </w:pPr>
      <w:r>
        <w:rPr>
          <w:rFonts w:ascii="Google Sans" w:cs="Google Sans" w:eastAsia="Google Sans" w:hAnsi="Google Sans" w:hint="eastAsia"/>
          <w:b w:val="false"/>
          <w:bCs w:val="false"/>
          <w:i w:val="false"/>
          <w:iCs w:val="false"/>
          <w:caps w:val="false"/>
          <w:color w:val="666666"/>
          <w:sz w:val="22"/>
          <w:szCs w:val="22"/>
        </w:rPr>
        <w:t xml:space="preserve">បើមានសំណួរ ឬចង់ស្វែងយល់បន្ថែម សូមទាក់ទង ៖ kesararamwithdigital.tech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540" w:footer="5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8" w:space="2"/>
      </w:pBdr>
      <w:spacing w:after="40" w:before="0"/>
    </w:pPr>
    <w:r>
      <w:rPr>
        <w:rFonts w:ascii="Google Sans" w:cs="Google Sans" w:eastAsia="Google Sans" w:hAnsi="Google Sans" w:hint="eastAsia"/>
        <w:b w:val="false"/>
        <w:bCs w:val="false"/>
        <w:i w:val="false"/>
        <w:iCs w:val="false"/>
        <w:caps w:val="false"/>
        <w:color w:val="000000"/>
        <w:sz w:val="22"/>
        <w:szCs w:val="22"/>
      </w:rPr>
      <w:t xml:space="preserve"/>
    </w:r>
  </w:p>
  <w:tbl>
    <w:tblPr>
      <w:tblW w:type="dxa" w:w="92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  <w:gridCol w:w="100"/>
    </w:tblGrid>
    <w:tr>
      <w:tc>
        <w:tcPr>
          <w:tcW w:type="dxa" w:w="306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 w:before="0"/>
            <w:jc w:val="left"/>
          </w:pPr>
          <w:r>
            <w:rPr>
              <w:rFonts w:ascii="Google Sans" w:cs="Google Sans" w:eastAsia="Google Sans" w:hAnsi="Google Sans" w:hint="eastAsia"/>
              <w:b w:val="false"/>
              <w:bCs w:val="false"/>
              <w:i w:val="false"/>
              <w:iCs w:val="false"/>
              <w:caps w:val="false"/>
              <w:color w:val="666666"/>
              <w:sz w:val="16"/>
              <w:szCs w:val="16"/>
            </w:rPr>
            <w:t xml:space="preserve">kesararamwithdigital.tech</w:t>
          </w:r>
        </w:p>
      </w:tc>
      <w:tc>
        <w:tcPr>
          <w:tcW w:type="dxa" w:w="3067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 w:before="0"/>
            <w:jc w:val="center"/>
          </w:pPr>
          <w:r>
            <w:rPr>
              <w:rFonts w:ascii="Google Sans" w:cs="Google Sans" w:eastAsia="Google Sans" w:hAnsi="Google Sans" w:hint="eastAsia"/>
              <w:b w:val="false"/>
              <w:bCs w:val="false"/>
              <w:i w:val="false"/>
              <w:iCs w:val="false"/>
              <w:caps w:val="false"/>
              <w:color w:val="666666"/>
              <w:sz w:val="16"/>
              <w:szCs w:val="16"/>
            </w:rPr>
            <w:t xml:space="preserve">សៀមរាប · កម្ពុជា · #50777</w:t>
          </w:r>
        </w:p>
      </w:tc>
      <w:tc>
        <w:tcPr>
          <w:tcW w:type="dxa" w:w="3067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 w:before="0"/>
            <w:jc w:val="right"/>
          </w:pPr>
          <w:r>
            <w:rPr>
              <w:rFonts w:ascii="Google Sans" w:cs="Google Sans" w:eastAsia="Google Sans" w:hAnsi="Google Sans" w:hint="eastAsia"/>
              <w:b w:val="false"/>
              <w:bCs w:val="false"/>
              <w:i w:val="false"/>
              <w:iCs w:val="false"/>
              <w:caps w:val="false"/>
              <w:color w:val="666666"/>
              <w:sz w:val="16"/>
              <w:szCs w:val="16"/>
            </w:rPr>
            <w:t xml:space="preserve">ទំព័រ </w:t>
          </w:r>
          <w:r>
            <w:rPr>
              <w:rFonts w:ascii="Google Sans" w:cs="Google Sans" w:eastAsia="Google Sans" w:hAnsi="Google Sans"/>
              <w:color w:val="666666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Google Sans" w:cs="Google Sans" w:eastAsia="Google Sans" w:hAnsi="Google Sans" w:hint="eastAsia"/>
              <w:b w:val="false"/>
              <w:bCs w:val="false"/>
              <w:i w:val="false"/>
              <w:iCs w:val="false"/>
              <w:caps w:val="false"/>
              <w:color w:val="666666"/>
              <w:sz w:val="16"/>
              <w:szCs w:val="16"/>
            </w:rPr>
            <w:t xml:space="preserve"> / </w:t>
          </w:r>
          <w:r>
            <w:rPr>
              <w:rFonts w:ascii="Google Sans" w:cs="Google Sans" w:eastAsia="Google Sans" w:hAnsi="Google Sans"/>
              <w:color w:val="666666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2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  <w:jc w:val="left"/>
          </w:pPr>
          <w:r>
            <w:drawing>
              <wp:inline distT="0" distB="0" distL="0" distR="0">
                <wp:extent cx="342900" cy="3429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0"/>
          </w:tcMar>
        </w:tcPr>
        <w:p>
          <w:pPr>
            <w:spacing w:after="0" w:before="60" w:line="240"/>
          </w:pPr>
          <w:r>
            <w:rPr>
              <w:rFonts w:ascii="Google Sans" w:cs="Google Sans" w:eastAsia="Google Sans" w:hAnsi="Google Sans" w:hint="eastAsia"/>
              <w:b/>
              <w:bCs/>
              <w:i w:val="false"/>
              <w:iCs w:val="false"/>
              <w:caps w:val="false"/>
              <w:color w:val="000000"/>
              <w:sz w:val="18"/>
              <w:szCs w:val="18"/>
            </w:rPr>
            <w:t xml:space="preserve">KESARARAM WITH DIGITAL</w:t>
          </w:r>
        </w:p>
        <w:p>
          <w:pPr>
            <w:spacing w:after="0" w:before="0" w:line="220"/>
          </w:pPr>
          <w:r>
            <w:rPr>
              <w:rFonts w:ascii="Google Sans" w:cs="Google Sans" w:eastAsia="Google Sans" w:hAnsi="Google Sans" w:hint="eastAsia"/>
              <w:b w:val="false"/>
              <w:bCs w:val="false"/>
              <w:i w:val="false"/>
              <w:iCs w:val="false"/>
              <w:caps w:val="false"/>
              <w:color w:val="666666"/>
              <w:sz w:val="16"/>
              <w:szCs w:val="16"/>
            </w:rPr>
            <w:t xml:space="preserve">ផែនការអាជីវកម្ម · KWD-BPL-2026</w:t>
          </w:r>
        </w:p>
      </w:tc>
    </w:tr>
  </w:tbl>
  <w:p>
    <w:pPr>
      <w:pBdr>
        <w:bottom w:val="single" w:color="000000" w:sz="12" w:space="2"/>
      </w:pBdr>
      <w:spacing w:after="60" w:before="0"/>
    </w:pPr>
    <w:r>
      <w:rPr>
        <w:rFonts w:ascii="Google Sans" w:cs="Google Sans" w:eastAsia="Google Sans" w:hAnsi="Google Sans" w:hint="eastAsia"/>
        <w:b w:val="false"/>
        <w:bCs w:val="false"/>
        <w:i w:val="false"/>
        <w:iCs w:val="false"/>
        <w:caps w:val="false"/>
        <w:color w:val="000000"/>
        <w:sz w:val="22"/>
        <w:szCs w:val="2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oogle Sans" w:cs="Google Sans" w:eastAsia="Google Sans" w:hAnsi="Google Sans" w:hint="eastAs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75d9743301548d02fb7b9dcf69aec78d68204a3.undefined"/><Relationship Id="rId10" Type="http://schemas.openxmlformats.org/officeDocument/2006/relationships/image" Target="media/4d16a0165bac890e661f5858e50c8a140b77f238.undefined"/><Relationship Id="rId11" Type="http://schemas.openxmlformats.org/officeDocument/2006/relationships/image" Target="media/41634aef1817436cacb29cfb76f6336022a0cbc8.undefined"/><Relationship Id="rId12" Type="http://schemas.openxmlformats.org/officeDocument/2006/relationships/image" Target="media/2f089ef033d360545d536928a3d91a23ad4fa0bc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75d9743301548d02fb7b9dcf69aec78d68204a3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KWD Business Plan 2026</dc:title>
  <dc:creator>KWD — Kesararam With Digital</dc:creator>
  <dc:description>Investor-ready business plan for KWD digital road safety education platform</dc:description>
  <cp:lastModifiedBy>Un-named</cp:lastModifiedBy>
  <cp:revision>1</cp:revision>
  <dcterms:created xsi:type="dcterms:W3CDTF">2026-06-08T17:58:05.487Z</dcterms:created>
  <dcterms:modified xsi:type="dcterms:W3CDTF">2026-06-08T17:58:05.487Z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