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仿宋" w:hAnsi="仿宋" w:eastAsia="仿宋"/>
          <w:sz w:val="32"/>
          <w:szCs w:val="32"/>
        </w:rPr>
      </w:pPr>
      <w:bookmarkStart w:id="2" w:name="_GoBack"/>
      <w:bookmarkEnd w:id="2"/>
    </w:p>
    <w:p>
      <w:pPr>
        <w:spacing w:line="336" w:lineRule="auto"/>
        <w:jc w:val="center"/>
        <w:rPr>
          <w:rFonts w:hint="eastAsia" w:ascii="方正小标宋简体" w:hAnsi="华文中宋" w:eastAsia="方正小标宋简体"/>
          <w:sz w:val="44"/>
          <w:szCs w:val="44"/>
        </w:rPr>
      </w:pPr>
    </w:p>
    <w:tbl>
      <w:tblPr>
        <w:tblStyle w:val="10"/>
        <w:tblW w:w="528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946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5000" w:type="pct"/>
            <w:tcBorders>
              <w:tl2br w:val="nil"/>
              <w:tr2bl w:val="nil"/>
            </w:tcBorders>
            <w:noWrap w:val="0"/>
            <w:tcMar>
              <w:top w:w="-1" w:type="dxa"/>
              <w:left w:w="-1" w:type="dxa"/>
              <w:bottom w:w="-1" w:type="dxa"/>
              <w:right w:w="-1" w:type="dxa"/>
            </w:tcMar>
            <w:vAlign w:val="top"/>
          </w:tcPr>
          <w:p>
            <w:pPr>
              <w:spacing w:before="156" w:beforeLines="50" w:line="360" w:lineRule="auto"/>
              <w:jc w:val="left"/>
              <w:rPr>
                <w:rFonts w:hint="eastAsia" w:ascii="Times New Roman" w:hAnsi="Times New Roman" w:eastAsia="仿宋" w:cs="Times New Roman"/>
                <w:b/>
                <w:sz w:val="24"/>
                <w:lang w:val="en-US" w:eastAsia="zh-CN"/>
              </w:rPr>
            </w:pPr>
            <w:r>
              <w:rPr>
                <w:rFonts w:hint="eastAsia" w:ascii="Times New Roman" w:hAnsi="Times New Roman" w:eastAsia="仿宋" w:cs="Times New Roman"/>
                <w:b/>
                <w:sz w:val="24"/>
                <w:lang w:val="en-US" w:eastAsia="zh-CN"/>
              </w:rPr>
              <w:t>一、申请理由</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本人为体育专业学生，系统学习体育教学、运动训练、体教融合等专业课程，具备扎实的理论基础与教学实践能力。我热爱体育教育事业，对青少年健康成长与体育教学改革抱有浓厚兴趣，善于调研分析、方案设计与团队协作，做事认真负责、执行力强。 在实践中，我参与过课堂教学实践、校园体育活动组织、体质健康测试等工作，具备一定的教学实践与项目开展经验，熟悉体育教学流程与学生运动发展特点。同时，团队成员专业互补、配合默契，在指导教师支持下，具备完成本项目研究的知识、能力与条件，恳请批准立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5000" w:type="pct"/>
            <w:tcBorders>
              <w:tl2br w:val="nil"/>
              <w:tr2bl w:val="nil"/>
            </w:tcBorders>
            <w:noWrap w:val="0"/>
            <w:tcMar>
              <w:top w:w="-1" w:type="dxa"/>
              <w:left w:w="-1" w:type="dxa"/>
              <w:bottom w:w="-1" w:type="dxa"/>
              <w:right w:w="-1" w:type="dxa"/>
            </w:tcMar>
            <w:vAlign w:val="top"/>
          </w:tcPr>
          <w:p>
            <w:pPr>
              <w:spacing w:before="156" w:beforeLines="50" w:line="360" w:lineRule="auto"/>
              <w:jc w:val="left"/>
              <w:rPr>
                <w:rFonts w:hint="eastAsia" w:ascii="Times New Roman" w:hAnsi="Times New Roman" w:eastAsia="仿宋" w:cs="Times New Roman"/>
                <w:b/>
                <w:sz w:val="24"/>
                <w:lang w:eastAsia="zh-CN"/>
              </w:rPr>
            </w:pPr>
            <w:r>
              <w:rPr>
                <w:rFonts w:hint="eastAsia" w:ascii="Times New Roman" w:hAnsi="Times New Roman" w:eastAsia="仿宋" w:cs="Times New Roman"/>
                <w:b/>
                <w:sz w:val="24"/>
                <w:lang w:val="en-US" w:eastAsia="zh-CN"/>
              </w:rPr>
              <w:t>二</w:t>
            </w:r>
            <w:r>
              <w:rPr>
                <w:rFonts w:hint="eastAsia" w:ascii="Times New Roman" w:hAnsi="Times New Roman" w:eastAsia="仿宋" w:cs="Times New Roman"/>
                <w:b/>
                <w:sz w:val="24"/>
              </w:rPr>
              <w:t>、项目实施的目的、意义</w:t>
            </w:r>
          </w:p>
          <w:p>
            <w:pPr>
              <w:spacing w:before="156" w:beforeLines="50" w:line="360" w:lineRule="auto"/>
              <w:jc w:val="left"/>
              <w:rPr>
                <w:rFonts w:hint="eastAsia"/>
                <w:b/>
                <w:sz w:val="24"/>
                <w:lang w:val="en-US" w:eastAsia="zh-CN"/>
              </w:rPr>
            </w:pPr>
            <w:r>
              <w:rPr>
                <w:rFonts w:hint="eastAsia" w:ascii="Times New Roman" w:hAnsi="Times New Roman" w:eastAsia="仿宋" w:cs="Times New Roman"/>
                <w:b/>
                <w:sz w:val="24"/>
                <w:lang w:eastAsia="zh-CN"/>
              </w:rPr>
              <w:t>（</w:t>
            </w:r>
            <w:r>
              <w:rPr>
                <w:rFonts w:hint="eastAsia" w:ascii="Times New Roman" w:hAnsi="Times New Roman" w:eastAsia="仿宋" w:cs="Times New Roman"/>
                <w:b/>
                <w:sz w:val="24"/>
                <w:lang w:val="en-US" w:eastAsia="zh-CN"/>
              </w:rPr>
              <w:t>一</w:t>
            </w:r>
            <w:r>
              <w:rPr>
                <w:rFonts w:hint="eastAsia" w:ascii="Times New Roman" w:hAnsi="Times New Roman" w:eastAsia="仿宋" w:cs="Times New Roman"/>
                <w:b/>
                <w:sz w:val="24"/>
                <w:lang w:eastAsia="zh-CN"/>
              </w:rPr>
              <w:t>）</w:t>
            </w:r>
            <w:r>
              <w:rPr>
                <w:rFonts w:hint="eastAsia" w:ascii="Times New Roman" w:hAnsi="Times New Roman" w:eastAsia="仿宋" w:cs="Times New Roman"/>
                <w:b/>
                <w:sz w:val="24"/>
                <w:lang w:val="en-US" w:eastAsia="zh-CN"/>
              </w:rPr>
              <w:t>项目简介</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为深入把握现状，项目将综合运用全国学生体质健康调研数据、地方教育体育部门的统计资料以及校本实证材料，对当前体育教学的实际情况、已有成效和存在瓶颈展开分析。通过对数据的梳理，研究期望揭示学生体质变化的基本趋势、运动技能掌握程度以及体育活动参与水平，并进一步探讨这些指标与学业表现、心理健康之间的潜在关联。这些工作将为后续的模式创新提供较为扎实的依据。</w:t>
            </w:r>
          </w:p>
          <w:p>
            <w:pPr>
              <w:numPr>
                <w:ilvl w:val="0"/>
                <w:numId w:val="0"/>
              </w:numPr>
              <w:bidi w:val="0"/>
              <w:spacing w:before="120" w:after="120" w:line="360" w:lineRule="auto"/>
              <w:ind w:firstLine="480" w:firstLineChars="200"/>
              <w:jc w:val="center"/>
              <w:rPr>
                <w:rFonts w:hint="eastAsia" w:ascii="Times New Roman" w:hAnsi="Times New Roman" w:eastAsia="仿宋" w:cs="Times New Roman"/>
                <w:sz w:val="24"/>
                <w:lang w:val="en-US" w:eastAsia="zh-CN"/>
              </w:rPr>
            </w:pP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5000" w:type="pct"/>
            <w:tcBorders>
              <w:tl2br w:val="nil"/>
              <w:tr2bl w:val="nil"/>
            </w:tcBorders>
            <w:noWrap w:val="0"/>
            <w:tcMar>
              <w:top w:w="-1" w:type="dxa"/>
              <w:left w:w="-1" w:type="dxa"/>
              <w:bottom w:w="-1" w:type="dxa"/>
              <w:right w:w="-1" w:type="dxa"/>
            </w:tcMar>
            <w:vAlign w:val="top"/>
          </w:tcPr>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在价值层面，本研究直接呼应“健康第一”的教育理念与全民健康战略。它不仅着眼于学生个体的体格强健与人格养成，也希望通过体育育人功能的深化，促进青少年团队协作、规则意识和意志品质的培养。从更广泛的社会意义来看，项目期待能推动家庭、学校、社区对青少年体育价值形成更多共识，进而助力健康生活方式的普及。就发展导向而言，项目试图推动学校体育实现目标转向，即从相对单一的运动技能传授，逐步转向兼顾享受乐趣、增强体质、健全人格与锤炼意志的复合型目标。在此过程中，将探索跨学科、跨领域的课程整合可能性，尝试开发数字化、智能化的教学辅助工具与评价方式，并着力构建课内课外、校内校外相互衔接的体育活动体系。这些探索有望增强体育教学本身的吸引力与科学性，为基层实践提供具有一定参考价值的解决方案。</w:t>
            </w:r>
          </w:p>
          <w:p>
            <w:pPr>
              <w:spacing w:before="156" w:beforeLines="50" w:line="360" w:lineRule="auto"/>
              <w:jc w:val="left"/>
              <w:rPr>
                <w:rFonts w:hint="eastAsia" w:ascii="Times New Roman" w:hAnsi="Times New Roman" w:eastAsia="仿宋" w:cs="Times New Roman"/>
                <w:b/>
                <w:sz w:val="24"/>
                <w:lang w:val="en-US" w:eastAsia="zh-CN"/>
              </w:rPr>
            </w:pPr>
            <w:r>
              <w:rPr>
                <w:rFonts w:hint="eastAsia" w:ascii="Times New Roman" w:hAnsi="Times New Roman" w:eastAsia="仿宋" w:cs="Times New Roman"/>
                <w:b/>
                <w:sz w:val="24"/>
                <w:lang w:eastAsia="zh-CN"/>
              </w:rPr>
              <w:t>（</w:t>
            </w:r>
            <w:r>
              <w:rPr>
                <w:rFonts w:hint="eastAsia" w:ascii="Times New Roman" w:hAnsi="Times New Roman" w:eastAsia="仿宋" w:cs="Times New Roman"/>
                <w:b/>
                <w:sz w:val="24"/>
                <w:lang w:val="en-US" w:eastAsia="zh-CN"/>
              </w:rPr>
              <w:t>二</w:t>
            </w:r>
            <w:r>
              <w:rPr>
                <w:rFonts w:hint="eastAsia" w:ascii="Times New Roman" w:hAnsi="Times New Roman" w:eastAsia="仿宋" w:cs="Times New Roman"/>
                <w:b/>
                <w:sz w:val="24"/>
                <w:lang w:eastAsia="zh-CN"/>
              </w:rPr>
              <w:t>）</w:t>
            </w:r>
            <w:r>
              <w:rPr>
                <w:rFonts w:hint="eastAsia" w:ascii="Times New Roman" w:hAnsi="Times New Roman" w:eastAsia="仿宋" w:cs="Times New Roman"/>
                <w:b/>
                <w:sz w:val="24"/>
                <w:lang w:val="en-US" w:eastAsia="zh-CN"/>
              </w:rPr>
              <w:t>研究实施目的</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在体教融合政策导向下，学校体育教学模式的革新成为一项紧迫课题。当前体育教学实践中，仍普遍存在目标偏向短期功利、教学内容缺乏系统性、评价方式较为单一等问题，体育与学生的整体学业发展之间往往相互割裂。为回应这些结构性困境，本研究依托国家体教融合战略，采用混合研究方法展开探讨。通过问卷调查与深度访谈相结合的方式，一方面量化分析学生体育锻炼的强度、频率与其学业成绩、心理健康水平之间的关联；另一方面，也质性挖掘影响学生参与体育活动的内在动机与外部环境因素。初步研究结果显示，规律且科学的体育锻炼，与学生学业效能感的提高、心理韧性的增强存在显著的正向关联。</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基于实证依据，本研究尝试构建一个目标清晰、体系整合并依托技术支撑的新型体育教学模式。首先是对教学目标进行重新定位，紧紧围绕“享受乐趣、增强体质、健全人格、锤炼意志”的指导方针，推动教学重心从运动技能传授，转向综合育人价值的实现。在实施路径上，强调跨学科的知识融合，例如开发“体育锻炼与情绪调节”等课程模块，连接体育与生理、心理等学科。同时，引入智能穿戴设备及移动应用平台，对学生的运动负荷、心率数据进行实时监测，形成个人数字体育档案，借助数据分析提供个性化运动建议与风险提示，提升教学过程的精准性。此外，通过设计体育家庭任务、组织线上运动挑战或校级俱乐部联赛等形式，努力打通课堂内外，构建一个连贯的“课堂引导、课外常练、竞赛激励”的体育实践体系。</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本研究最终期望形成“政策引领—实证检验—模式构建—实践反馈”的完整研究闭环，产出一套包含课程设计参考、教师培训要点、数字化工具使用指南以及融合过程性与增值性评价的多元评价方案。其价值不仅在于从理论层面深化对体育何以育人的内在机制的理解，更在于从实践层面为中小学提供一条具体可行、以融合为特征的体育教育质量提升路径。通过这样的模式创新，旨在切实推动学校体育从一门相对边缘的学科，转变为核心育人载体，为践行“健康第一”的教育思想、促进青少年全面发展奠定扎实的学理基础并贡献可参照的实践范本。</w:t>
            </w:r>
          </w:p>
          <w:p>
            <w:pPr>
              <w:spacing w:before="156" w:beforeLines="50"/>
              <w:jc w:val="left"/>
              <w:rPr>
                <w:rFonts w:hint="eastAsia"/>
                <w:b/>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947" w:hRule="atLeast"/>
          <w:jc w:val="center"/>
        </w:trPr>
        <w:tc>
          <w:tcPr>
            <w:tcW w:w="5000" w:type="pct"/>
            <w:tcBorders>
              <w:tl2br w:val="nil"/>
              <w:tr2bl w:val="nil"/>
            </w:tcBorders>
            <w:noWrap w:val="0"/>
            <w:tcMar>
              <w:top w:w="-1" w:type="dxa"/>
              <w:left w:w="-1" w:type="dxa"/>
              <w:bottom w:w="-1" w:type="dxa"/>
              <w:right w:w="-1" w:type="dxa"/>
            </w:tcMar>
            <w:vAlign w:val="top"/>
          </w:tcPr>
          <w:p>
            <w:pPr>
              <w:spacing w:before="156" w:beforeLines="50" w:line="360" w:lineRule="auto"/>
              <w:jc w:val="left"/>
              <w:rPr>
                <w:rFonts w:hint="eastAsia" w:ascii="Times New Roman" w:hAnsi="Times New Roman" w:eastAsia="仿宋" w:cs="Times New Roman"/>
                <w:b/>
                <w:sz w:val="24"/>
                <w:lang w:val="en-US" w:eastAsia="zh-CN"/>
              </w:rPr>
            </w:pPr>
            <w:r>
              <w:rPr>
                <w:rFonts w:hint="eastAsia" w:ascii="Times New Roman" w:hAnsi="Times New Roman" w:eastAsia="仿宋" w:cs="Times New Roman"/>
                <w:b/>
                <w:sz w:val="24"/>
                <w:lang w:val="en-US" w:eastAsia="zh-CN"/>
              </w:rPr>
              <w:t>（三）研究实施意义（创新点与项目特色）</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1. 理论内涵拓展与本土化框架构建</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在体教融合的时代背景下，本研究对体育教学模式的理论内涵进行了系统性的深化与拓展。研究试图超越传统体育教学主要关注运动技能传授和身体锻炼的既有范式，将体育教学置于促进青少年全面发展的整体育人体系中进行重新审视。在这一视角下，体育教学的价值不再局限于身体层面，而被赋予了更为丰富的内涵，它被认为是塑造健全人格、锤炼顽强意志、提升社会适应能力乃至传承体育文化的重要途径。基于这种理论认识的深化，本研究尝试构建一个具有中国本土特色的“学练赛评”体育教学模式理论框架。该框架的核心维度包括“价值引领”、“知识传授”、“能力培养”与“健康促进”。这一构建并非简单罗列要素，而是力求深度融合国家层面的教育方针、体育强国建设目标、健康中国行动要求以及素质教育理念，其根本目的在于实现体育教学在立德树人根本任务、学科相关知识、具体运动技能以及学生身心健康等多个层面的有机统一与协同增效。可以说，这一框架不仅试图从结构上厘清体教融合在学校体育实践场域中的核心要素及其相互关系，更希望从学理层面，为当前学校体育的系统性改革与教学模式创新，提供一个逻辑相对严密、层次较为分明的支撑体系。</w:t>
            </w:r>
          </w:p>
          <w:p>
            <w:pPr>
              <w:spacing w:before="156" w:beforeLines="50"/>
              <w:jc w:val="left"/>
              <w:rPr>
                <w:rFonts w:hint="eastAsia"/>
                <w:b/>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511" w:hRule="atLeast"/>
          <w:jc w:val="center"/>
        </w:trPr>
        <w:tc>
          <w:tcPr>
            <w:tcW w:w="5000" w:type="pct"/>
            <w:tcBorders>
              <w:tl2br w:val="nil"/>
              <w:tr2bl w:val="nil"/>
            </w:tcBorders>
            <w:noWrap w:val="0"/>
            <w:tcMar>
              <w:top w:w="-1" w:type="dxa"/>
              <w:left w:w="-1" w:type="dxa"/>
              <w:bottom w:w="-1" w:type="dxa"/>
              <w:right w:w="-1" w:type="dxa"/>
            </w:tcMar>
            <w:vAlign w:val="top"/>
          </w:tcPr>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2. 实践方案开发与标准化推广路径</w:t>
            </w:r>
          </w:p>
          <w:p>
            <w:pPr>
              <w:numPr>
                <w:ilvl w:val="0"/>
                <w:numId w:val="0"/>
              </w:numPr>
              <w:bidi w:val="0"/>
              <w:spacing w:before="120" w:after="120" w:line="360" w:lineRule="auto"/>
              <w:ind w:firstLine="480" w:firstLineChars="200"/>
              <w:jc w:val="left"/>
            </w:pPr>
            <w:r>
              <w:rPr>
                <w:rFonts w:hint="eastAsia" w:ascii="Times New Roman" w:hAnsi="Times New Roman" w:eastAsia="仿宋" w:cs="Times New Roman"/>
                <w:sz w:val="24"/>
                <w:lang w:val="en-US" w:eastAsia="zh-CN"/>
              </w:rPr>
              <w:t>为了推动上述理论框架能够切实有效地落地，本研究将重点放在了开发一套具备较高可操作性与可复制性的实践方案上。该方案的核心思路在于打破固有的学科壁垒，积极探索并设计跨学科整合的主题式体育课程。例如，可以尝试开发“体育+物理”课程，在运动实践中融入运动力学原理；设计“体育+生物”课程，探讨运动与生理健康的关系；或者构建“体育+德育”课程，在团队项目中渗透合作精神与规则意识。这样的设计旨在促进不同领域的知识在真实的运动情境中发生迁移与综合应用，增强学习的整体性和实用性。同时，方案也充分考虑了数字化时代的支撑作用，计划引入</w:t>
            </w:r>
            <w:r>
              <w:rPr>
                <w:rFonts w:hint="eastAsia" w:ascii="Times New Roman" w:hAnsi="Times New Roman" w:eastAsia="仿宋" w:cs="Times New Roman"/>
                <w:color w:val="auto"/>
                <w:sz w:val="24"/>
                <w:lang w:val="en-US" w:eastAsia="zh-CN"/>
              </w:rPr>
              <w:t>智能穿戴设备、专业运动应用程序、虚拟现实仿真技术</w:t>
            </w:r>
            <w:r>
              <w:rPr>
                <w:rFonts w:hint="eastAsia" w:ascii="Times New Roman" w:hAnsi="Times New Roman" w:eastAsia="仿宋" w:cs="Times New Roman"/>
                <w:sz w:val="24"/>
                <w:lang w:val="en-US" w:eastAsia="zh-CN"/>
              </w:rPr>
              <w:t>等手段。</w:t>
            </w:r>
          </w:p>
          <w:p>
            <w:pPr>
              <w:numPr>
                <w:ilvl w:val="0"/>
                <w:numId w:val="0"/>
              </w:numPr>
              <w:bidi w:val="0"/>
              <w:spacing w:before="120" w:after="120" w:line="360" w:lineRule="auto"/>
              <w:ind w:firstLine="240" w:firstLineChars="100"/>
              <w:jc w:val="left"/>
              <w:rPr>
                <w:rFonts w:hint="eastAsia"/>
                <w:b/>
                <w:kern w:val="2"/>
                <w:sz w:val="24"/>
                <w:szCs w:val="24"/>
                <w:lang w:val="en-US" w:eastAsia="zh-CN" w:bidi="ar-SA"/>
              </w:rPr>
            </w:pPr>
            <w:r>
              <w:rPr>
                <w:rFonts w:hint="eastAsia" w:ascii="Times New Roman" w:hAnsi="Times New Roman" w:eastAsia="仿宋" w:cs="Times New Roman"/>
                <w:sz w:val="24"/>
                <w:lang w:val="en-US" w:eastAsia="zh-CN"/>
              </w:rPr>
              <w:t>你这些技术的运用，目标是实现对学生运动数据的实时采集、对技术动作的精细化分析、提供个性化的学习反馈以及创设沉浸式的学习体验，从而在整体上提升体育教学的精准化水平和学生的学习兴趣。在具体的实施层面，方案特别强调课堂教学与课外活动、校内资源与校外资源之间的有机衔接与整合，力图构建一个涵盖“必修课程、选修课程、社团活动、体育竞赛乃至家庭体育锻炼”的连续性、一体化活动链条。为了确保这套方案在不同条件和资源禀赋的基层学校能够得到有效推广并保证基本质量，本研究还配套提供了模块化的具体课程设计示例、针对体育教师和班主任的阶梯式协同培训方案，以及一套强调过程性评价与结果性评价并重的多元化综合评估标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5000" w:type="pct"/>
            <w:tcBorders>
              <w:tl2br w:val="nil"/>
              <w:tr2bl w:val="nil"/>
            </w:tcBorders>
            <w:noWrap w:val="0"/>
            <w:tcMar>
              <w:top w:w="-1" w:type="dxa"/>
              <w:left w:w="-1" w:type="dxa"/>
              <w:bottom w:w="-1" w:type="dxa"/>
              <w:right w:w="-1" w:type="dxa"/>
            </w:tcMar>
            <w:vAlign w:val="top"/>
          </w:tcPr>
          <w:p>
            <w:pPr>
              <w:spacing w:before="156" w:beforeLines="50"/>
              <w:jc w:val="both"/>
              <w:rPr>
                <w:rFonts w:hint="eastAsia" w:eastAsia="宋体"/>
                <w:b/>
                <w:sz w:val="24"/>
                <w:lang w:eastAsia="zh-CN"/>
              </w:rPr>
            </w:pPr>
          </w:p>
          <w:p>
            <w:pPr>
              <w:spacing w:before="156" w:beforeLines="50"/>
              <w:jc w:val="center"/>
              <w:rPr>
                <w:rFonts w:hint="eastAsia" w:eastAsia="宋体"/>
                <w:b/>
                <w:sz w:val="24"/>
                <w:lang w:eastAsia="zh-CN"/>
              </w:rPr>
            </w:pPr>
          </w:p>
          <w:p>
            <w:pPr>
              <w:spacing w:before="156" w:beforeLines="50"/>
              <w:jc w:val="center"/>
              <w:rPr>
                <w:rFonts w:hint="eastAsia" w:eastAsia="宋体"/>
                <w:b/>
                <w:sz w:val="24"/>
                <w:lang w:eastAsia="zh-CN"/>
              </w:rPr>
            </w:pPr>
          </w:p>
          <w:p>
            <w:pPr>
              <w:spacing w:before="156" w:beforeLines="50"/>
              <w:jc w:val="center"/>
              <w:rPr>
                <w:rFonts w:hint="eastAsia" w:eastAsia="宋体"/>
                <w:b/>
                <w:sz w:val="24"/>
                <w:lang w:eastAsia="zh-CN"/>
              </w:rPr>
            </w:pPr>
          </w:p>
          <w:p>
            <w:pPr>
              <w:spacing w:before="156" w:beforeLines="50"/>
              <w:jc w:val="both"/>
              <w:rPr>
                <w:rFonts w:hint="eastAsia" w:eastAsia="宋体"/>
                <w:b/>
                <w:sz w:val="24"/>
                <w:lang w:eastAsia="zh-CN"/>
              </w:rPr>
            </w:pPr>
          </w:p>
          <w:p>
            <w:pPr>
              <w:spacing w:before="156" w:beforeLines="50"/>
              <w:jc w:val="both"/>
              <w:rPr>
                <w:rFonts w:hint="eastAsia" w:eastAsia="宋体"/>
                <w:b/>
                <w:sz w:val="24"/>
                <w:lang w:eastAsia="zh-CN"/>
              </w:rPr>
            </w:pPr>
          </w:p>
          <w:p>
            <w:pPr>
              <w:pStyle w:val="2"/>
              <w:spacing w:before="156" w:beforeLines="50"/>
              <w:jc w:val="center"/>
            </w:pPr>
          </w:p>
          <w:p>
            <w:pPr>
              <w:pStyle w:val="2"/>
              <w:spacing w:before="156" w:beforeLines="50"/>
              <w:jc w:val="center"/>
            </w:pPr>
          </w:p>
          <w:p>
            <w:pPr>
              <w:pStyle w:val="2"/>
              <w:spacing w:before="156" w:beforeLines="50"/>
              <w:jc w:val="center"/>
            </w:pPr>
          </w:p>
          <w:p>
            <w:pPr>
              <w:pStyle w:val="2"/>
              <w:spacing w:before="156" w:beforeLines="50"/>
              <w:jc w:val="center"/>
            </w:pPr>
          </w:p>
          <w:p>
            <w:pPr>
              <w:pStyle w:val="2"/>
              <w:spacing w:before="156" w:beforeLines="50"/>
              <w:jc w:val="center"/>
            </w:pPr>
          </w:p>
          <w:p>
            <w:pPr>
              <w:pStyle w:val="2"/>
              <w:spacing w:before="156" w:beforeLines="50"/>
              <w:jc w:val="center"/>
            </w:pPr>
          </w:p>
          <w:p>
            <w:pPr>
              <w:pStyle w:val="2"/>
              <w:spacing w:before="156" w:beforeLines="50"/>
              <w:jc w:val="center"/>
            </w:pPr>
          </w:p>
          <w:p>
            <w:pPr>
              <w:pStyle w:val="2"/>
              <w:spacing w:before="156" w:beforeLines="50"/>
              <w:jc w:val="both"/>
            </w:pP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3.</w:t>
            </w:r>
            <w:bookmarkStart w:id="0" w:name="OLE_LINK4"/>
            <w:r>
              <w:rPr>
                <w:rFonts w:hint="eastAsia" w:ascii="Times New Roman" w:hAnsi="Times New Roman" w:eastAsia="仿宋" w:cs="Times New Roman"/>
                <w:b/>
                <w:bCs/>
                <w:sz w:val="24"/>
                <w:lang w:val="en-US" w:eastAsia="zh-CN"/>
              </w:rPr>
              <w:t>多源数据融合与精准化教学干预</w:t>
            </w:r>
          </w:p>
          <w:bookmarkEnd w:id="0"/>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在体教融合的实践探索中，如何使教学决策更加科学、教学干预更为精准，是提升学校体育育人实效的关键挑战。本研究尝试构建一种基于数据的体育教学决策与干预模式，旨在超越以往主要依赖教师个人经验的传统做法。通过系统性地收集多维度信息，包括常规的学生体质健康测试数据、课堂实时运动负荷监测数据、学业成绩变化数据、心理量表评估数据以及日常行为观察记录等，我们致力于建立一个能够动态反映学生体育参与及综合发展状况的数据库。这为深入理解体育教育的复杂影响提供了可能的数据基础。</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借助统计学和教育数据挖掘等方法，研究重点在于分析这些</w:t>
            </w:r>
            <w:r>
              <w:rPr>
                <w:rFonts w:hint="eastAsia" w:ascii="Times New Roman" w:hAnsi="Times New Roman" w:eastAsia="仿宋" w:cs="Times New Roman"/>
                <w:color w:val="auto"/>
                <w:sz w:val="24"/>
                <w:lang w:val="en-US" w:eastAsia="zh-CN"/>
              </w:rPr>
              <w:t>多源数据</w:t>
            </w:r>
            <w:r>
              <w:rPr>
                <w:rFonts w:hint="eastAsia" w:ascii="Times New Roman" w:hAnsi="Times New Roman" w:eastAsia="仿宋" w:cs="Times New Roman"/>
                <w:sz w:val="24"/>
                <w:lang w:val="en-US" w:eastAsia="zh-CN"/>
              </w:rPr>
              <w:t>之间的内在联系。我们不仅关注学生的体能指标是否达标，更试图量化分析其运动技能掌握程度、日常体育活动参与度与学业表现、心理韧性、情绪管理能力乃至自尊水平等因素之间可能存在的相互作用机制。这种分析有助于揭示一些以往被忽视的关联，例如，特定运动项目的持续练习对提升学生专注力的具体影响，或者团队运动经历对改善人际交往能力的实际效度。基于这些量化分析，教学中的一些复杂问题得以更清晰地呈现，比如，可以更准确地识别出运动技能习得困难的特定学生群体，或深入探究部分学生运动动机持续性不足背后的多维原因。</w:t>
            </w:r>
          </w:p>
          <w:p>
            <w:pPr>
              <w:pStyle w:val="2"/>
              <w:numPr>
                <w:ilvl w:val="0"/>
                <w:numId w:val="0"/>
              </w:numPr>
              <w:spacing w:before="156" w:beforeLines="50"/>
              <w:jc w:val="both"/>
              <w:rPr>
                <w:rFonts w:hint="eastAsia"/>
                <w:b/>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5000" w:type="pct"/>
            <w:tcBorders>
              <w:tl2br w:val="nil"/>
              <w:tr2bl w:val="nil"/>
            </w:tcBorders>
            <w:noWrap w:val="0"/>
            <w:tcMar>
              <w:top w:w="-1" w:type="dxa"/>
              <w:left w:w="-1" w:type="dxa"/>
              <w:bottom w:w="-1" w:type="dxa"/>
              <w:right w:w="-1" w:type="dxa"/>
            </w:tcMar>
            <w:vAlign w:val="top"/>
          </w:tcPr>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p>
          <w:p>
            <w:pPr>
              <w:numPr>
                <w:ilvl w:val="0"/>
                <w:numId w:val="0"/>
              </w:numPr>
              <w:bidi w:val="0"/>
              <w:spacing w:before="120" w:after="120" w:line="360" w:lineRule="auto"/>
              <w:jc w:val="both"/>
              <w:rPr>
                <w:b/>
                <w:bCs/>
              </w:rPr>
            </w:pPr>
          </w:p>
          <w:p>
            <w:pPr>
              <w:numPr>
                <w:ilvl w:val="0"/>
                <w:numId w:val="0"/>
              </w:numPr>
              <w:bidi w:val="0"/>
              <w:spacing w:before="120" w:after="120" w:line="360" w:lineRule="auto"/>
              <w:ind w:firstLine="720" w:firstLineChars="300"/>
              <w:jc w:val="left"/>
              <w:rPr>
                <w:rFonts w:hint="eastAsia" w:ascii="Times New Roman" w:hAnsi="Times New Roman" w:eastAsia="仿宋" w:cs="Times New Roman"/>
                <w:sz w:val="24"/>
                <w:lang w:val="en-US" w:eastAsia="zh-CN"/>
              </w:rPr>
            </w:pPr>
          </w:p>
          <w:p>
            <w:pPr>
              <w:numPr>
                <w:ilvl w:val="0"/>
                <w:numId w:val="0"/>
              </w:numPr>
              <w:bidi w:val="0"/>
              <w:spacing w:before="120" w:after="120" w:line="360" w:lineRule="auto"/>
              <w:ind w:firstLine="720" w:firstLineChars="300"/>
              <w:jc w:val="left"/>
              <w:rPr>
                <w:rFonts w:hint="eastAsia" w:eastAsia="宋体"/>
                <w:b/>
                <w:sz w:val="24"/>
                <w:lang w:eastAsia="zh-CN"/>
              </w:rPr>
            </w:pPr>
            <w:r>
              <w:rPr>
                <w:rFonts w:hint="eastAsia" w:ascii="Times New Roman" w:hAnsi="Times New Roman" w:eastAsia="仿宋" w:cs="Times New Roman"/>
                <w:sz w:val="24"/>
                <w:lang w:val="en-US" w:eastAsia="zh-CN"/>
              </w:rPr>
              <w:t>在获得相对清晰的“诊断”之后，教学干预便能够更具靶向性。这意味着体育教学计划可以依据数据分析结果进行个性化调整。例如，为体质基础与技能起点差异显著的学生群体，设计侧重点不同的训练内容与进度安排；针对学业压力较大、情绪焦虑感明显的学生，可以设计融入放松技巧与团队协作元素的体育游戏活动，使其在运动中实现身心调节；对于整体课业负担较重的班级，则可以考虑在运动强度、组织形式上进行优化，寻求体育锻炼与学业学习在促进学生发展上的平衡点，以期切实提升教学干预的针对性和最终成效。</w:t>
            </w:r>
          </w:p>
          <w:p>
            <w:pPr>
              <w:tabs>
                <w:tab w:val="left" w:pos="3200"/>
              </w:tabs>
              <w:spacing w:before="156" w:beforeLines="50"/>
              <w:jc w:val="center"/>
              <w:rPr>
                <w:rFonts w:hint="eastAsia" w:eastAsia="宋体"/>
                <w:b/>
                <w:sz w:val="24"/>
                <w:lang w:eastAsia="zh-CN"/>
              </w:rPr>
            </w:pPr>
          </w:p>
          <w:p>
            <w:pPr>
              <w:tabs>
                <w:tab w:val="left" w:pos="3200"/>
              </w:tabs>
              <w:spacing w:before="156" w:beforeLines="50"/>
              <w:jc w:val="center"/>
              <w:rPr>
                <w:rFonts w:hint="eastAsia" w:eastAsia="宋体"/>
                <w:b/>
                <w:sz w:val="24"/>
                <w:lang w:eastAsia="zh-CN"/>
              </w:rPr>
            </w:pPr>
          </w:p>
          <w:p>
            <w:pPr>
              <w:pStyle w:val="2"/>
              <w:tabs>
                <w:tab w:val="left" w:pos="3200"/>
              </w:tabs>
              <w:spacing w:before="156" w:beforeLines="50"/>
              <w:jc w:val="both"/>
            </w:pPr>
          </w:p>
          <w:p>
            <w:pPr>
              <w:pStyle w:val="2"/>
              <w:tabs>
                <w:tab w:val="left" w:pos="3200"/>
              </w:tabs>
              <w:spacing w:before="156" w:beforeLines="50"/>
              <w:jc w:val="center"/>
            </w:pPr>
          </w:p>
          <w:p>
            <w:pPr>
              <w:pStyle w:val="2"/>
              <w:tabs>
                <w:tab w:val="left" w:pos="3200"/>
              </w:tabs>
              <w:spacing w:before="156" w:beforeLines="50"/>
              <w:jc w:val="center"/>
            </w:pPr>
          </w:p>
          <w:p>
            <w:pPr>
              <w:pStyle w:val="2"/>
              <w:tabs>
                <w:tab w:val="left" w:pos="3200"/>
              </w:tabs>
              <w:spacing w:before="156" w:beforeLines="50"/>
              <w:jc w:val="center"/>
              <w:rPr>
                <w:rFonts w:hint="eastAsia" w:eastAsia="黑体"/>
                <w:lang w:eastAsia="zh-CN"/>
              </w:rPr>
            </w:pPr>
          </w:p>
          <w:p>
            <w:pPr>
              <w:rPr>
                <w:rFonts w:hint="eastAsia"/>
                <w:lang w:eastAsia="zh-CN"/>
              </w:rPr>
            </w:pPr>
          </w:p>
          <w:p>
            <w:pPr>
              <w:pStyle w:val="2"/>
              <w:tabs>
                <w:tab w:val="left" w:pos="3200"/>
              </w:tabs>
              <w:spacing w:before="156" w:beforeLines="50"/>
              <w:jc w:val="center"/>
            </w:pPr>
          </w:p>
          <w:p>
            <w:pPr>
              <w:pStyle w:val="2"/>
              <w:tabs>
                <w:tab w:val="left" w:pos="3200"/>
              </w:tabs>
              <w:spacing w:before="156" w:beforeLines="50"/>
              <w:jc w:val="center"/>
            </w:pPr>
          </w:p>
          <w:p>
            <w:pPr>
              <w:pStyle w:val="2"/>
              <w:tabs>
                <w:tab w:val="left" w:pos="3200"/>
              </w:tabs>
              <w:spacing w:before="156" w:beforeLines="50"/>
              <w:jc w:val="center"/>
            </w:pPr>
          </w:p>
          <w:p>
            <w:pPr>
              <w:pStyle w:val="2"/>
              <w:tabs>
                <w:tab w:val="left" w:pos="3200"/>
              </w:tabs>
              <w:spacing w:before="156" w:beforeLines="50"/>
              <w:jc w:val="center"/>
            </w:pPr>
          </w:p>
          <w:p>
            <w:pPr>
              <w:pStyle w:val="2"/>
              <w:tabs>
                <w:tab w:val="left" w:pos="3200"/>
              </w:tabs>
              <w:spacing w:before="156" w:beforeLines="50"/>
              <w:jc w:val="center"/>
            </w:pPr>
          </w:p>
          <w:p>
            <w:pPr>
              <w:pStyle w:val="2"/>
              <w:tabs>
                <w:tab w:val="left" w:pos="3200"/>
              </w:tabs>
              <w:spacing w:before="156" w:beforeLines="50"/>
              <w:jc w:val="center"/>
            </w:pPr>
          </w:p>
          <w:p>
            <w:pPr>
              <w:bidi w:val="0"/>
              <w:spacing w:line="360" w:lineRule="auto"/>
              <w:rPr>
                <w:rFonts w:hint="eastAsia" w:ascii="Times New Roman" w:hAnsi="Times New Roman" w:eastAsia="仿宋" w:cs="Times New Roman"/>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070" w:hRule="atLeast"/>
          <w:jc w:val="center"/>
        </w:trPr>
        <w:tc>
          <w:tcPr>
            <w:tcW w:w="0" w:type="auto"/>
            <w:noWrap w:val="0"/>
            <w:vAlign w:val="top"/>
          </w:tcPr>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4.育人目标升华与社会协同机制探索</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bookmarkStart w:id="1" w:name="OLE_LINK1"/>
            <w:r>
              <w:rPr>
                <w:rFonts w:hint="eastAsia" w:ascii="Times New Roman" w:hAnsi="Times New Roman" w:eastAsia="仿宋" w:cs="Times New Roman"/>
                <w:sz w:val="24"/>
                <w:lang w:val="en-US" w:eastAsia="zh-CN"/>
              </w:rPr>
              <w:t>体育教学模式的创新，其根本目的不仅在于提升运动技能传授的效率，更在于实现体育育人功能的深化与拓展。本研究强调，体育教学应当完成从“以运动技术为中心”向“以学生全面发展为中心”的范式转型。体育课堂与体育活动，本身就是人格塑造、社会性发展和积极生活方式养成的天然且重要的实践场域。因此，在具体的教学模式设计中，我们有意识地将团队协作、规则意识、挫折应对、责任担当乃至领导力培养等元素，有机地融入运动技能学习与比赛活动之中。这使得学生在跑、跳、投掷、对抗与合作的过程中，同时也在锤炼自身的品格，学习如何面对成功与失败，如何在一个集体中找到自己的位置并发挥作用，从而实现更为完善的自我成长。</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然而，学校体育育人目标的充分实现，难以仅凭校园围墙内的努力单独完成。它需要更广泛的社会支持系统的协同。为此，本研究着力于探索如何凝聚家庭、学校与社区（包括各类社会体育组织）的共识，尝试构建“家校社”三位一体的体育共育机制。这意味着，体育教育的责任与资源需要在一定程度上进行整合与共享。具体路径可能包括：为家庭提供科学、易行的青少年体育锻炼指导建议，鼓励亲子共同参与体育活动；在确保安全与管理有序的前提下，推动学校体育场馆设施在课余时间向学生及社区适度开放；积极引入社区的专业体育教练、俱乐部资源或赛事活动，弥补学校在某些专项体育教学上的不足。通过多种方式的连接，旨在形成促进青少年持续参与体育锻炼、实现全面发展的社会合力。</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从宏观视角来看，学校体育教学模式的革新探索，深度契合健康中国、全民健身两大国家发展战略。中小学阶段夯实青少年身体素质，帮助学生养成长期稳定的终身运动习惯，既能够保障个人长期身心健康，也能从根本上提升全民健康素质，长远来看，更有助于减轻社会公共医疗负担。</w:t>
            </w:r>
          </w:p>
          <w:bookmarkEnd w:id="1"/>
          <w:p>
            <w:pPr>
              <w:bidi w:val="0"/>
              <w:spacing w:line="360" w:lineRule="auto"/>
              <w:rPr>
                <w:rFonts w:hint="eastAsia" w:ascii="Times New Roman" w:hAnsi="Times New Roman" w:eastAsia="仿宋" w:cs="Times New Roman"/>
                <w:kern w:val="2"/>
                <w:sz w:val="24"/>
                <w:szCs w:val="24"/>
                <w:lang w:val="en-US" w:eastAsia="zh-CN" w:bidi="ar-SA"/>
              </w:rPr>
            </w:pPr>
          </w:p>
          <w:p>
            <w:pPr>
              <w:bidi w:val="0"/>
              <w:spacing w:line="360" w:lineRule="auto"/>
              <w:rPr>
                <w:rFonts w:hint="eastAsia" w:ascii="Times New Roman" w:hAnsi="Times New Roman" w:eastAsia="仿宋" w:cs="Times New Roman"/>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spacing w:before="156" w:beforeLines="50" w:line="360" w:lineRule="auto"/>
              <w:jc w:val="left"/>
              <w:rPr>
                <w:rFonts w:hint="eastAsia" w:ascii="Times New Roman" w:hAnsi="Times New Roman" w:eastAsia="仿宋" w:cs="Times New Roman"/>
                <w:b/>
                <w:sz w:val="24"/>
                <w:lang w:val="en-US" w:eastAsia="zh-CN"/>
              </w:rPr>
            </w:pPr>
            <w:r>
              <w:rPr>
                <w:rFonts w:hint="eastAsia" w:ascii="Times New Roman" w:hAnsi="Times New Roman" w:eastAsia="仿宋" w:cs="Times New Roman"/>
                <w:b/>
                <w:sz w:val="24"/>
                <w:lang w:val="en-US" w:eastAsia="zh-CN"/>
              </w:rPr>
              <w:t>（四）项目研究内容和拟解决的关键问题</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项目研究内容</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1. 体教融合政策导向下学校体育教学的系统性创新与理论框架构建</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在体教融合国家政策的强力驱动下，学校体育教学正经历一场深刻的系统性创新。其核心成果是构建了一个以“价值重塑、课程重构、流程再造、评价革新”为支柱的多维理论框架。该框架将体育从传统的技能传授提升为促进学生全面发展、培养健全人格的核心载体，实现了体育与教育在目标、内容、机制上的深度有机融合。系统性创新体现在课程体系上，打破了原有学段与项目壁垒，形成了基础普及、兴趣拓展、专业提升的递进式结构；在教学模式上，强调“学、练、赛、评”一体化设计；在评价体系上，融合了体质健康、运动技能、体育品德与健康行为的多维综合评估。这一理论框架不仅为学校体育实践提供了清晰的路线图，也为政策的具体落地与持续深化奠定了坚实的学理基础。</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2. 数据驱动的体育教学精准诊断与跨学科整合实践路径探索</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借助智能穿戴设备、</w:t>
            </w:r>
            <w:r>
              <w:rPr>
                <w:rFonts w:hint="eastAsia" w:ascii="Times New Roman" w:hAnsi="Times New Roman" w:eastAsia="仿宋" w:cs="Times New Roman"/>
                <w:color w:val="auto"/>
                <w:sz w:val="24"/>
                <w:lang w:val="en-US" w:eastAsia="zh-CN"/>
              </w:rPr>
              <w:t>物联网</w:t>
            </w:r>
            <w:r>
              <w:rPr>
                <w:rFonts w:hint="eastAsia" w:ascii="Times New Roman" w:hAnsi="Times New Roman" w:eastAsia="仿宋" w:cs="Times New Roman"/>
                <w:sz w:val="24"/>
                <w:lang w:val="en-US" w:eastAsia="zh-CN"/>
              </w:rPr>
              <w:t>与大数据分析技术，体育教学实现了从经验主义向数据驱动的范式转变。其核心成果是形成了一套基于多源数据（如心率、动作轨迹、运动负荷、体质测试数据）的精准诊断与干预系统。该系统能够实时评估学生个体与群体的运动状态、技能短板及健康风险，为个性化教学方案的制定提供科学依据。</w:t>
            </w:r>
          </w:p>
          <w:p>
            <w:pPr>
              <w:numPr>
                <w:ilvl w:val="0"/>
                <w:numId w:val="0"/>
              </w:numPr>
              <w:spacing w:before="156" w:beforeLines="50"/>
              <w:jc w:val="center"/>
              <w:rPr>
                <w:rFonts w:hint="eastAsia" w:eastAsia="宋体"/>
                <w:b/>
                <w:sz w:val="24"/>
                <w:lang w:eastAsia="zh-CN"/>
              </w:rPr>
            </w:pPr>
          </w:p>
          <w:p>
            <w:pPr>
              <w:numPr>
                <w:ilvl w:val="0"/>
                <w:numId w:val="0"/>
              </w:numPr>
              <w:spacing w:before="156" w:beforeLines="50"/>
              <w:jc w:val="center"/>
              <w:rPr>
                <w:rFonts w:hint="eastAsia" w:eastAsia="宋体"/>
                <w:b/>
                <w:sz w:val="24"/>
                <w:lang w:eastAsia="zh-CN"/>
              </w:rPr>
            </w:pPr>
          </w:p>
          <w:p>
            <w:pPr>
              <w:numPr>
                <w:ilvl w:val="0"/>
                <w:numId w:val="0"/>
              </w:numPr>
              <w:spacing w:before="156" w:beforeLines="50"/>
              <w:jc w:val="center"/>
              <w:rPr>
                <w:rFonts w:hint="eastAsia" w:eastAsia="宋体"/>
                <w:b/>
                <w:sz w:val="24"/>
                <w:lang w:eastAsia="zh-CN"/>
              </w:rPr>
            </w:pPr>
          </w:p>
          <w:p>
            <w:pPr>
              <w:numPr>
                <w:ilvl w:val="0"/>
                <w:numId w:val="0"/>
              </w:numPr>
              <w:spacing w:before="156" w:beforeLines="50"/>
              <w:jc w:val="center"/>
              <w:rPr>
                <w:rFonts w:hint="eastAsia" w:eastAsia="宋体"/>
                <w:b/>
                <w:sz w:val="24"/>
                <w:lang w:eastAsia="zh-CN"/>
              </w:rPr>
            </w:pPr>
          </w:p>
          <w:p>
            <w:pPr>
              <w:numPr>
                <w:ilvl w:val="0"/>
                <w:numId w:val="0"/>
              </w:numPr>
              <w:spacing w:before="156" w:beforeLines="50"/>
              <w:jc w:val="center"/>
              <w:rPr>
                <w:rFonts w:hint="eastAsia" w:eastAsia="宋体"/>
                <w:b/>
                <w:sz w:val="24"/>
                <w:lang w:eastAsia="zh-CN"/>
              </w:rPr>
            </w:pPr>
          </w:p>
          <w:p>
            <w:pPr>
              <w:numPr>
                <w:ilvl w:val="0"/>
                <w:numId w:val="0"/>
              </w:numPr>
              <w:spacing w:before="156" w:beforeLines="50"/>
              <w:jc w:val="center"/>
              <w:rPr>
                <w:rFonts w:hint="eastAsia" w:eastAsia="宋体"/>
                <w:b/>
                <w:sz w:val="24"/>
                <w:lang w:eastAsia="zh-CN"/>
              </w:rPr>
            </w:pPr>
          </w:p>
          <w:p>
            <w:pPr>
              <w:numPr>
                <w:ilvl w:val="0"/>
                <w:numId w:val="0"/>
              </w:numPr>
              <w:spacing w:before="156" w:beforeLines="50"/>
              <w:jc w:val="center"/>
              <w:rPr>
                <w:rFonts w:hint="eastAsia" w:eastAsia="宋体"/>
                <w:b/>
                <w:sz w:val="24"/>
                <w:lang w:eastAsia="zh-CN"/>
              </w:rPr>
            </w:pPr>
          </w:p>
          <w:p>
            <w:pPr>
              <w:numPr>
                <w:ilvl w:val="0"/>
                <w:numId w:val="0"/>
              </w:numPr>
              <w:spacing w:before="156" w:beforeLines="50"/>
              <w:jc w:val="center"/>
              <w:rPr>
                <w:rFonts w:hint="eastAsia" w:eastAsia="宋体"/>
                <w:b/>
                <w:sz w:val="24"/>
                <w:lang w:eastAsia="zh-CN"/>
              </w:rPr>
            </w:pPr>
          </w:p>
          <w:p>
            <w:pPr>
              <w:numPr>
                <w:ilvl w:val="0"/>
                <w:numId w:val="0"/>
              </w:numPr>
              <w:spacing w:before="156" w:beforeLines="50"/>
              <w:jc w:val="center"/>
              <w:rPr>
                <w:rFonts w:hint="eastAsia" w:eastAsia="宋体"/>
                <w:b/>
                <w:sz w:val="24"/>
                <w:lang w:eastAsia="zh-CN"/>
              </w:rPr>
            </w:pPr>
          </w:p>
          <w:p>
            <w:pPr>
              <w:numPr>
                <w:ilvl w:val="0"/>
                <w:numId w:val="0"/>
              </w:numPr>
              <w:spacing w:before="156" w:beforeLines="50"/>
              <w:jc w:val="both"/>
              <w:rPr>
                <w:rFonts w:hint="eastAsia" w:eastAsia="宋体"/>
                <w:b/>
                <w:sz w:val="24"/>
                <w:lang w:eastAsia="zh-CN"/>
              </w:rPr>
            </w:pPr>
          </w:p>
          <w:p>
            <w:pPr>
              <w:spacing w:before="156" w:beforeLines="50"/>
              <w:jc w:val="both"/>
              <w:rPr>
                <w:rFonts w:hint="eastAsia"/>
                <w:b/>
                <w:kern w:val="2"/>
                <w:sz w:val="24"/>
                <w:szCs w:val="24"/>
                <w:lang w:val="en-US" w:eastAsia="zh-CN" w:bidi="ar-SA"/>
              </w:rPr>
            </w:pPr>
          </w:p>
          <w:p>
            <w:pPr>
              <w:spacing w:before="156" w:beforeLines="50"/>
              <w:jc w:val="both"/>
              <w:rPr>
                <w:rFonts w:hint="eastAsia"/>
                <w:b/>
                <w:kern w:val="2"/>
                <w:sz w:val="24"/>
                <w:szCs w:val="24"/>
                <w:lang w:val="en-US" w:eastAsia="zh-CN" w:bidi="ar-SA"/>
              </w:rPr>
            </w:pPr>
          </w:p>
          <w:p>
            <w:pPr>
              <w:spacing w:before="156" w:beforeLines="50"/>
              <w:jc w:val="both"/>
              <w:rPr>
                <w:rFonts w:hint="eastAsia"/>
                <w:b/>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同时，探索出一条有效的跨学科整合实践路径：体育与生理学、心理学结合，优化训练与恢复策略；与统计学、计算机科学结合，深化数据分析与可视化；与健康教育、营养学结合，构建“运动-营养-健康”一体化知识体系。这一路径打破了学科孤岛，使体育教学成为培养学生科学素养与综合解决问题能力的实践场域，显著提升了教学的精准性与科学性。</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3. “学 - 练 - 赛 - 评”目标下体育育人功能深化与家校社协同机制研究</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围绕“享受乐趣、增强体质、健全人格、锤炼意志”的“学练赛评”学校体育目标，研究深化了体育独特的综合育人功能。其核心成果是明确了体育在培养学生坚韧品格、团队精神、规则意识、抗挫折能力等方面不可替代的价值，并构建了一个权责清晰、资源互补、联动高效的家校社协同育人机制。该机制以学校为主导，设计结构化的体育家庭作业与假期锻炼计划；家庭负责营造氛围、督促陪伴与习惯养成；社区则提供场地、专业指导与赛事活动平台。通过数字化平台实现三方信息共享、任务协同与成果反馈，形成了目标一致、纵向衔接、横向贯通的学生体育素养培育闭环，使体育育人从学校课堂有效延伸至学生的日常生活。</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4. 数字化支撑的课内外一体化体育教学模式与政策转化应用</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以云计算、移动互联网和人工智能技术为支撑，成功构建了课内外一体化的体育教学新模式。其核心成果是创建了一个无缝衔接、线上线下混合的体育学习与管理生态。在课内，利用智慧场馆和互动教学工具提升教学效率与趣味性；在课外，通过运动APP、云端课程和虚拟社群，引导学生进行自主锻炼、参与挑战赛并进行社交化学习。该模式通过数据流贯穿课堂学习、课外练习、竞赛活动与健康管理，实现了对学生体育参与全过程的跟踪与指导。在政策转化应用层面，这一模式为落实“教会、勤练、常赛”要求提供了可操作的技术方案与实施范例，推动了国家宏观体育教育政策向具体学校教学实践的高效转化与精准落地，成为连接顶层设计与基层实践的关键桥梁。</w:t>
            </w:r>
          </w:p>
          <w:p>
            <w:pPr>
              <w:spacing w:before="156" w:beforeLines="50"/>
              <w:jc w:val="center"/>
              <w:rPr>
                <w:rFonts w:hint="eastAsia"/>
                <w:sz w:val="24"/>
              </w:rPr>
            </w:pPr>
          </w:p>
          <w:p>
            <w:pPr>
              <w:spacing w:before="156" w:beforeLines="50"/>
              <w:jc w:val="center"/>
              <w:rPr>
                <w:rFonts w:hint="eastAsia"/>
                <w:sz w:val="24"/>
              </w:rPr>
            </w:pPr>
          </w:p>
          <w:p>
            <w:pPr>
              <w:spacing w:before="156" w:beforeLines="50"/>
              <w:jc w:val="center"/>
              <w:rPr>
                <w:rFonts w:hint="eastAsia"/>
                <w:sz w:val="24"/>
              </w:rPr>
            </w:pPr>
          </w:p>
          <w:p>
            <w:pPr>
              <w:spacing w:before="156" w:beforeLines="50"/>
              <w:jc w:val="center"/>
              <w:rPr>
                <w:rFonts w:hint="eastAsia"/>
                <w:sz w:val="24"/>
              </w:rPr>
            </w:pPr>
          </w:p>
          <w:p>
            <w:pPr>
              <w:spacing w:before="156" w:beforeLines="50"/>
              <w:jc w:val="both"/>
              <w:rPr>
                <w:rFonts w:hint="eastAsia"/>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numPr>
                <w:ilvl w:val="0"/>
                <w:numId w:val="0"/>
              </w:numPr>
              <w:spacing w:before="156" w:beforeLines="50"/>
              <w:jc w:val="left"/>
              <w:rPr>
                <w:rFonts w:hint="default" w:eastAsia="宋体"/>
                <w:b/>
                <w:sz w:val="24"/>
                <w:lang w:val="en-US" w:eastAsia="zh-CN"/>
              </w:rPr>
            </w:pPr>
            <w:r>
              <w:rPr>
                <w:rFonts w:hint="eastAsia"/>
                <w:b/>
                <w:sz w:val="24"/>
                <w:lang w:eastAsia="zh-CN"/>
              </w:rPr>
              <w:t>（</w:t>
            </w:r>
            <w:r>
              <w:rPr>
                <w:rFonts w:hint="eastAsia"/>
                <w:b/>
                <w:sz w:val="24"/>
                <w:lang w:val="en-US" w:eastAsia="zh-CN"/>
              </w:rPr>
              <w:t>五</w:t>
            </w:r>
            <w:r>
              <w:rPr>
                <w:rFonts w:hint="eastAsia"/>
                <w:b/>
                <w:sz w:val="24"/>
                <w:lang w:eastAsia="zh-CN"/>
              </w:rPr>
              <w:t>）</w:t>
            </w:r>
            <w:r>
              <w:rPr>
                <w:rFonts w:hint="eastAsia"/>
                <w:b/>
                <w:sz w:val="24"/>
                <w:lang w:val="en-US" w:eastAsia="zh-CN"/>
              </w:rPr>
              <w:t>项目拟解决关键问题</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1.技能传授与全面发展脱节的破解路径</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当前学校体育教学的一个突出问题是，实际教学重心往往局限于运动技能的传授与掌握。这与新时代所倡导的，旨在让学生“享受乐趣、增强体质、健全人格、锤炼意志”的综合性体育教育目标存在明显偏差。这种目标上的割裂，使得体育课程本应承载的多维育人功能未能得到充分发挥，其价值在一定程度上被简化为身体训练。因此，如何弥合技能学习与学生全面发展之间的鸿沟，成为本研究必须面对的核心议题。研究需要深入思考的是，运动技能的学习与学生健全人格的培养、坚强意志的锤炼之间，究竟存在怎样的内在联系，又可能产生哪些实践中的矛盾。在此基础上，关键是要探索一种可行的教学模式设计思路，能够将知识、技能、情感态度乃至价值观培育等不同层面的目标，有机地融合到具体的教学单元与课堂活动中去，而不是彼此分离。这不仅仅是对课程目标表述的调整，更意味着教学实践的深层次转变，即从关注单一的身体能力转向关注学生作为“完整的人”的成长。相应地，教学评价体系也必须进行改革，改变过去主要依据技能达标程度的评价方式，逐步构建能够反映学生认知理解、技能运用、情感投入和社会行为等多方面表现的综合性评价指标，从而引导教学实践真正走向“全人教育”。</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2.经验依赖向数据驱动诊断的范式转型</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长期以来，体育课堂教学的质量在很大程度上依赖于任课教师的个人经验和直观判断。从教学计划的设计、对学生情况的把握，到对学习效果的评估和后续指导，都带有较强的主观色彩。这种基于经验的教学模式，在应对学生个体差异、实现精准干预方面存在天然局限，教学过程容易显得粗放和不够精细。在体教融合追求更高质量育人效果的背景下，这种传统范式面临着挑战。本研究试图探讨的关键问题在于，如何借助现代信息技术的赋能，推动体育教学走向一种更为科学、精准的新形态。具体而言，研究将关注如何构建适用于体育课堂场景的数据采集与分析系统。利用可穿戴设备、</w:t>
            </w:r>
            <w:r>
              <w:rPr>
                <w:rFonts w:hint="eastAsia" w:ascii="Times New Roman" w:hAnsi="Times New Roman" w:eastAsia="仿宋" w:cs="Times New Roman"/>
                <w:color w:val="auto"/>
                <w:sz w:val="24"/>
                <w:lang w:val="en-US" w:eastAsia="zh-CN"/>
              </w:rPr>
              <w:t>视频捕捉等技术</w:t>
            </w:r>
            <w:r>
              <w:rPr>
                <w:rFonts w:hint="eastAsia" w:ascii="Times New Roman" w:hAnsi="Times New Roman" w:eastAsia="仿宋" w:cs="Times New Roman"/>
                <w:sz w:val="24"/>
                <w:lang w:val="en-US" w:eastAsia="zh-CN"/>
              </w:rPr>
              <w:t>，可以持续、自然地收集学生在课堂上的心率、运动轨迹、动作视频以及参与度等多维度数据。这些数据经过有效处理和分析，能够帮助教师超越主观印象，更客观地识别出不同学生在体能上的薄弱环节、在技能学习中的具体困难点，甚至他们的兴趣偏好。其目的在于为教师提供一个基于证据的学情现状，使教师</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numPr>
                <w:ilvl w:val="0"/>
                <w:numId w:val="0"/>
              </w:numPr>
              <w:bidi w:val="0"/>
              <w:spacing w:before="120" w:after="120" w:line="360" w:lineRule="auto"/>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的教学决策获得数据支持。最终目标是推动教学从“一刀切”向个性化过渡，能够针对不同学生的具体情况设计并动态调整教学方案，实现从统一教学到差异化指导的转变，从而提升体育教学整体的科学化水平。</w:t>
            </w:r>
          </w:p>
          <w:p>
            <w:pPr>
              <w:spacing w:before="156" w:beforeLines="50"/>
              <w:jc w:val="center"/>
              <w:rPr>
                <w:rFonts w:hint="eastAsia" w:eastAsia="宋体"/>
                <w:sz w:val="24"/>
                <w:lang w:eastAsia="zh-CN"/>
              </w:rPr>
            </w:pP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3.家校社协同机制缺失的体系化构建</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当前，学校体育的开展在很大程度上仍局限于校园围墙之内，与家庭、社区等外部环境之间的联系薄弱且松散。这种相对封闭的状态，使得各方在目标上难以衔接，资源上无法共享，行动上也缺乏协调。其直接后果是，体育育人的力量被分散在不同场域，未能有效整合，导致对学生影响的连续性和整体性不足，育人效果出现衰减。体教融合的深化，迫切要求打破这些固有的场域壁垒，构建一个能够贯通学生课内外、校内外生活的体育促进体系。因此，本研究的一个关键着力点，便是尝试破解协同机制缺失的难题，探索如何将学校、家庭和社区的力量凝聚起来。</w:t>
            </w:r>
          </w:p>
          <w:p>
            <w:pPr>
              <w:numPr>
                <w:ilvl w:val="0"/>
                <w:numId w:val="0"/>
              </w:numPr>
              <w:bidi w:val="0"/>
              <w:spacing w:before="120" w:after="120" w:line="360" w:lineRule="auto"/>
              <w:ind w:firstLine="480" w:firstLineChars="200"/>
              <w:jc w:val="left"/>
              <w:rPr>
                <w:rFonts w:hint="eastAsia"/>
                <w:sz w:val="24"/>
              </w:rPr>
            </w:pPr>
            <w:r>
              <w:rPr>
                <w:rFonts w:hint="eastAsia" w:ascii="Times New Roman" w:hAnsi="Times New Roman" w:eastAsia="仿宋" w:cs="Times New Roman"/>
                <w:sz w:val="24"/>
                <w:lang w:val="en-US" w:eastAsia="zh-CN"/>
              </w:rPr>
              <w:t>研究需要深入分析学校、家庭和社区在青少年体育成长过程中各自应扮演的角色、所能提供的独特资源以及需要承担的责任。这并非简单的责任叠加，而是要在厘清边界的基础上寻求共赢的合作点。在此基础上，设计可行的联动组织方式和制度保障措施，使协同不至于流于形式。一个重要的切入思路是</w:t>
            </w:r>
            <w:r>
              <w:rPr>
                <w:rFonts w:hint="eastAsia" w:ascii="Times New Roman" w:hAnsi="Times New Roman" w:eastAsia="仿宋" w:cs="Times New Roman"/>
                <w:color w:val="auto"/>
                <w:sz w:val="24"/>
                <w:lang w:val="en-US" w:eastAsia="zh-CN"/>
              </w:rPr>
              <w:t>借助数字化手段来搭建协同的桥梁</w:t>
            </w:r>
            <w:r>
              <w:rPr>
                <w:rFonts w:hint="eastAsia" w:ascii="Times New Roman" w:hAnsi="Times New Roman" w:eastAsia="仿宋" w:cs="Times New Roman"/>
                <w:sz w:val="24"/>
                <w:lang w:val="en-US" w:eastAsia="zh-CN"/>
              </w:rPr>
              <w:t>。例如，开发用于布置和反馈体育家庭作业的应用程序，绘制并向家庭开放的社区体育设施与活动资源地图，建立记录学生长期体育参与情况与体质数据的电子档案等。这些平台可以成为连接各方的信息枢纽，促进教学目标、学生数据、活动资讯的流动与共享。</w:t>
            </w:r>
          </w:p>
          <w:p>
            <w:pPr>
              <w:spacing w:before="156" w:beforeLines="50"/>
              <w:jc w:val="center"/>
              <w:rPr>
                <w:rFonts w:hint="eastAsia"/>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通过具体的实践设计，如为家庭提供科学易行的锻炼指导方案，将社区优质的体育俱乐部教练或课程资源引入学校课后服务，共同组织跨校际或社区层面的体育竞赛与活动，可以逐步编织出一张立体化的育人网络。</w:t>
            </w:r>
            <w:r>
              <w:rPr>
                <w:rFonts w:hint="eastAsia" w:ascii="Times New Roman" w:hAnsi="Times New Roman" w:eastAsia="仿宋" w:cs="Times New Roman"/>
                <w:color w:val="auto"/>
                <w:sz w:val="24"/>
                <w:lang w:val="en-US" w:eastAsia="zh-CN"/>
              </w:rPr>
              <w:t>这张网络追求的是目标的一致、内容的衔接、资源的互补和管理的协同</w:t>
            </w:r>
            <w:r>
              <w:rPr>
                <w:rFonts w:hint="eastAsia" w:ascii="Times New Roman" w:hAnsi="Times New Roman" w:eastAsia="仿宋" w:cs="Times New Roman"/>
                <w:sz w:val="24"/>
                <w:lang w:val="en-US" w:eastAsia="zh-CN"/>
              </w:rPr>
              <w:t>。其根本目的，是让体育教育的影响不再随着下课铃声而中断，而是能够自然延伸到学生的日常生活场景中，从而实现育人效应的最大化与持久化。</w:t>
            </w:r>
          </w:p>
          <w:p>
            <w:pPr>
              <w:spacing w:before="156" w:beforeLines="50"/>
              <w:jc w:val="both"/>
              <w:rPr>
                <w:rFonts w:hint="eastAsia"/>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301" w:hRule="atLeast"/>
          <w:jc w:val="center"/>
        </w:trPr>
        <w:tc>
          <w:tcPr>
            <w:tcW w:w="0" w:type="auto"/>
            <w:noWrap w:val="0"/>
            <w:vAlign w:val="top"/>
          </w:tcPr>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4.宏观政策向基层教学转化的模式创新</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国家层面推出的体教融合相关政策，为学校体育改革描绘了清晰的战略蓝图。然而，这些宏观的理念和原则性要求，在落实到一线学校的日常教学实践中时，常常会遇到转化上的困难。基层教师和学校管理者往往面临一个现实困惑：政策要求“做什么”是明确的，但具体“怎么做”却缺乏清晰、可操作的模式与工具支持。这种从宏观政策到微观实践之间的“最后一公里”梗阻，使得政策愿景与教学现实之间产生落差，影响了改革实效的充分显现。</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本研究致力于弥合这一鸿沟，其核心任务是尝试创建一种能够有效承载体教融合理念，并能在基层学校直接应用的数字化体育教学模式。这一努力并非简单地将新技术叠加到传统教学之上，而是旨在以融合为导向，对教学目标、内容、过程与评价进行系统性的重新设计与整合。研究的重点在于构建一个具体、可操作的实践框架。这个框架需要以数字化工具体系作为支撑，以结构化的课程内容作为骨架，并以丰富多样的课内外体育活动作为载体。</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该模式必须能够回答一线实践中提出的具体问题。例如，它需要展示如何将“教会、勤练、常赛”这一要求转化为常态化、可组织的课堂教学与课外活动流程；如何将运动健康理论知识与身体运动实践进行有机结合，而非彼此脱节；如何在体育教学中自然融入其他学科的知识元素，开展跨学科主题学习。通过明确各个环节的操作要点、所需资源支持以及基本的质量评价标准，该模式旨在为教师提供一份看得懂、学得会、用得上的实践图。最终目的是促进体教融合政策从上级的文件文本，切实转化为学校中生动、具体的教学行为，从而提升基层教育工作者在改革中的实际获得感和改革举措的实效性。</w:t>
            </w:r>
          </w:p>
          <w:p>
            <w:pPr>
              <w:spacing w:before="156" w:beforeLines="50"/>
              <w:jc w:val="center"/>
              <w:rPr>
                <w:rFonts w:hint="eastAsia"/>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173" w:hRule="atLeast"/>
          <w:jc w:val="center"/>
        </w:trPr>
        <w:tc>
          <w:tcPr>
            <w:tcW w:w="0" w:type="auto"/>
            <w:noWrap w:val="0"/>
            <w:vAlign w:val="top"/>
          </w:tcPr>
          <w:p>
            <w:pPr>
              <w:spacing w:before="156" w:beforeLines="50"/>
              <w:jc w:val="left"/>
              <w:rPr>
                <w:rFonts w:hint="eastAsia"/>
                <w:b/>
                <w:sz w:val="24"/>
              </w:rPr>
            </w:pPr>
            <w:r>
              <w:rPr>
                <w:rFonts w:hint="eastAsia"/>
                <w:b/>
                <w:sz w:val="24"/>
                <w:lang w:eastAsia="zh-CN"/>
              </w:rPr>
              <w:t>（</w:t>
            </w:r>
            <w:r>
              <w:rPr>
                <w:rFonts w:hint="eastAsia"/>
                <w:b/>
                <w:sz w:val="24"/>
                <w:lang w:val="en-US" w:eastAsia="zh-CN"/>
              </w:rPr>
              <w:t>六</w:t>
            </w:r>
            <w:r>
              <w:rPr>
                <w:rFonts w:hint="eastAsia"/>
                <w:b/>
                <w:sz w:val="24"/>
                <w:lang w:eastAsia="zh-CN"/>
              </w:rPr>
              <w:t>）</w:t>
            </w:r>
            <w:r>
              <w:rPr>
                <w:rFonts w:hint="eastAsia"/>
                <w:b/>
                <w:sz w:val="24"/>
              </w:rPr>
              <w:t>项目研究与实施的基础条件</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1.研究积累与已有成绩</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项目推进并非从零开始，而是建立在一定的研究积淀与资源保障之上。在理论层面，团队对体教融合政策的演进脉络与学校体育改革的现实诉求保持了持续关注，形成了关于体育教学需进行系统性变革的初步共识，这为项目提供了必要的观念基础和分析框架。实践方面，团队已非零散地尝试过将“学练赛评”理念融入教学设计，并初步体验了利用运动类应用程序、在线表单等简易数字化工具辅助课外活动管理与数据采集，这些探索为后续深化混合式教学积累了宝贵的初步经验。</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2.已具备的实施条件</w:t>
            </w:r>
          </w:p>
          <w:p>
            <w:pPr>
              <w:numPr>
                <w:ilvl w:val="0"/>
                <w:numId w:val="0"/>
              </w:numPr>
              <w:bidi w:val="0"/>
              <w:spacing w:before="120" w:after="120" w:line="360" w:lineRule="auto"/>
              <w:ind w:firstLine="480" w:firstLineChars="200"/>
              <w:jc w:val="left"/>
              <w:rPr>
                <w:rFonts w:hint="eastAsia"/>
                <w:kern w:val="2"/>
                <w:sz w:val="24"/>
                <w:szCs w:val="24"/>
                <w:lang w:val="en-US" w:eastAsia="zh-CN" w:bidi="ar-SA"/>
              </w:rPr>
            </w:pPr>
            <w:r>
              <w:rPr>
                <w:rFonts w:hint="eastAsia" w:ascii="Times New Roman" w:hAnsi="Times New Roman" w:eastAsia="仿宋" w:cs="Times New Roman"/>
                <w:sz w:val="24"/>
                <w:lang w:val="en-US" w:eastAsia="zh-CN"/>
              </w:rPr>
              <w:t>从实施条件看，项目具备多方面的支撑。首先，团队结构较为合理，核心成员分别来自体育教育、运动人体科学及教育技术等领域，这种跨学科背景有助于从多视角审视和解决教学创新中的复杂问题，且成员间已有稳定的合作基础。其次，学校层面的支持环境基本具备，常规的体育科研实验室、基础数据分析工具与文献数据库，能够满足项目基本的测试、分析与调研需求。再次，教学实践场域有保障，学校的公共体育课、各类学生体育社团及常规校园体育活动，为教学实验的设计、实施与效果验证提供了稳定的平台和样本来源。最后，基础技术条件已普及，校园网络覆盖、多媒体教室以及师生对智能终端与常用软件的高频使用，为实现线上线下教学环节的有机衔接与数据流转奠定了可行性基础。当然，现有条件也存在局限，如数字化工具的深度整合能力、跨部门协同的机制化水平等仍有待在实践中进一步探索和提升。</w:t>
            </w:r>
          </w:p>
        </w:tc>
      </w:tr>
    </w:tbl>
    <w:p>
      <w:pPr>
        <w:spacing w:before="156" w:beforeLines="50"/>
        <w:jc w:val="left"/>
        <w:rPr>
          <w:rFonts w:hint="eastAsia"/>
          <w:b/>
          <w:sz w:val="24"/>
        </w:rPr>
      </w:pPr>
      <w:r>
        <w:rPr>
          <w:rFonts w:hint="eastAsia"/>
          <w:b/>
          <w:sz w:val="24"/>
        </w:rPr>
        <w:br w:type="page"/>
      </w:r>
    </w:p>
    <w:tbl>
      <w:tblPr>
        <w:tblStyle w:val="10"/>
        <w:tblW w:w="516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934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numPr>
                <w:ilvl w:val="0"/>
                <w:numId w:val="0"/>
              </w:numPr>
              <w:spacing w:before="156" w:beforeLines="50"/>
              <w:jc w:val="left"/>
              <w:rPr>
                <w:rFonts w:hint="eastAsia"/>
                <w:b/>
                <w:sz w:val="24"/>
              </w:rPr>
            </w:pPr>
            <w:r>
              <w:rPr>
                <w:rFonts w:hint="eastAsia"/>
                <w:b/>
                <w:sz w:val="24"/>
                <w:lang w:eastAsia="zh-CN"/>
              </w:rPr>
              <w:t>（</w:t>
            </w:r>
            <w:r>
              <w:rPr>
                <w:rFonts w:hint="eastAsia"/>
                <w:b/>
                <w:sz w:val="24"/>
                <w:lang w:val="en-US" w:eastAsia="zh-CN"/>
              </w:rPr>
              <w:t>七</w:t>
            </w:r>
            <w:r>
              <w:rPr>
                <w:rFonts w:hint="eastAsia"/>
                <w:b/>
                <w:sz w:val="24"/>
                <w:lang w:eastAsia="zh-CN"/>
              </w:rPr>
              <w:t>）</w:t>
            </w:r>
            <w:r>
              <w:rPr>
                <w:rFonts w:hint="eastAsia"/>
                <w:b/>
                <w:sz w:val="24"/>
              </w:rPr>
              <w:t>项目实施方案</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第一阶段：方案细化与资源准备（2026年6月-2026年8月）</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系统梳理与深化相关理论研究，明确各核心概念的操作性定义。完成详细的教学模式设计方案与实验研究方案编制，包括具体教学内容、线上线下活动流程、评价指标体系及数据收集工具。同时，完成所需基础教学资源（如微课视频、在线学习任务单）的开发与初步技术平台调试。</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第二阶段：教学实验前期实施与过程调整（2026年9月-2027年1月）</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在选定的教学班级中开展第一轮教学实验。重点实施设计好的线上线下混合式教学活动，系统收集学生学习过程数据、课堂观察记录及初期反馈。期间进行中期评估，根据实施情况对教学策略与活动设计进行动态调整与优化。</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第三阶段：教学实验深化与数据系统收集（2027年2月-2027年7月）</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在调整优化的基础上，开展第二轮教学实验，或扩大实验范围以验证模式的适用性。此阶段重点在于深化“学练赛评”各环节的整合效果，并系统、完整地收集前后测数据、各类过程性评价数据以及师生访谈资料。</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第四阶段：数据整理分析与成果凝练（2027年8月-2027年11月）</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对收集的所有数据进行清洗、统计分析与质性研究。全面评估教学效果，检验研究假设。在此基础上，撰写项目研究报告，总结形成可推广的教学模式框架、实践案例集，并完成相关学术论文的撰写与修改。</w:t>
            </w:r>
          </w:p>
          <w:p>
            <w:pPr>
              <w:numPr>
                <w:ilvl w:val="0"/>
                <w:numId w:val="0"/>
              </w:numPr>
              <w:bidi w:val="0"/>
              <w:spacing w:before="120" w:after="120" w:line="360" w:lineRule="auto"/>
              <w:ind w:firstLine="482" w:firstLineChars="200"/>
              <w:jc w:val="left"/>
              <w:rPr>
                <w:rFonts w:hint="eastAsia" w:ascii="Times New Roman" w:hAnsi="Times New Roman" w:eastAsia="仿宋" w:cs="Times New Roman"/>
                <w:b/>
                <w:bCs/>
                <w:sz w:val="24"/>
                <w:lang w:val="en-US" w:eastAsia="zh-CN"/>
              </w:rPr>
            </w:pPr>
            <w:r>
              <w:rPr>
                <w:rFonts w:hint="eastAsia" w:ascii="Times New Roman" w:hAnsi="Times New Roman" w:eastAsia="仿宋" w:cs="Times New Roman"/>
                <w:b/>
                <w:bCs/>
                <w:sz w:val="24"/>
                <w:lang w:val="en-US" w:eastAsia="zh-CN"/>
              </w:rPr>
              <w:t>第五阶段：成果总结与推广应用（2027年12月）</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完成项目全部总结工作，整理最终成果材料。通过组织教学研讨会、成果分享会等形式，在校内乃至更广范围内推广项目经验与实践模式，听取同行反馈，谋划后续深化研究方向。</w:t>
            </w:r>
          </w:p>
          <w:p>
            <w:pPr>
              <w:spacing w:before="156" w:beforeLines="50"/>
              <w:jc w:val="center"/>
              <w:rPr>
                <w:rFonts w:hint="eastAsia"/>
                <w:sz w:val="24"/>
              </w:rPr>
            </w:pPr>
          </w:p>
          <w:p>
            <w:pPr>
              <w:spacing w:before="156" w:beforeLines="50"/>
              <w:jc w:val="center"/>
              <w:rPr>
                <w:rFonts w:hint="eastAsia"/>
                <w:sz w:val="24"/>
              </w:rPr>
            </w:pPr>
          </w:p>
          <w:p>
            <w:pPr>
              <w:spacing w:before="156" w:beforeLines="50"/>
              <w:jc w:val="both"/>
              <w:rPr>
                <w:rFonts w:hint="eastAsia"/>
                <w:sz w:val="24"/>
              </w:rPr>
            </w:pPr>
          </w:p>
          <w:p>
            <w:pPr>
              <w:numPr>
                <w:ilvl w:val="0"/>
                <w:numId w:val="0"/>
              </w:numPr>
              <w:spacing w:before="156" w:beforeLines="50"/>
              <w:jc w:val="left"/>
              <w:rPr>
                <w:rFonts w:hint="eastAsia" w:ascii="Times New Roman" w:hAnsi="Times New Roman" w:eastAsia="宋体" w:cs="Times New Roman"/>
                <w:b/>
                <w:sz w:val="24"/>
                <w:lang w:eastAsia="zh-CN"/>
              </w:rPr>
            </w:pPr>
            <w:r>
              <w:rPr>
                <w:rFonts w:hint="eastAsia" w:ascii="Times New Roman" w:hAnsi="Times New Roman" w:eastAsia="宋体" w:cs="Times New Roman"/>
                <w:b/>
                <w:sz w:val="24"/>
                <w:lang w:val="en-US" w:eastAsia="zh-CN"/>
              </w:rPr>
              <w:t>（8）</w:t>
            </w:r>
            <w:r>
              <w:rPr>
                <w:rFonts w:hint="eastAsia" w:ascii="Times New Roman" w:hAnsi="Times New Roman" w:eastAsia="宋体" w:cs="Times New Roman"/>
                <w:b/>
                <w:sz w:val="24"/>
                <w:lang w:eastAsia="zh-CN"/>
              </w:rPr>
              <w:t>项目组成员分工</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本项目团队由体育专业学生组成，搭配指导教师全程专业指导，按照统筹协调、调研分析、方案设计、教学实验、数据处理、材料总结六大核心任务，实行专人专岗、分工明确、协同配合、责任到人的分工机制，确保项目高效有序推进，具体分工如下：</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（一）项目负责人（1 名）</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全面统筹项目整体规划、进度管控、团队管理与任务分配；对接指导教师与学校创新创业学院，协调资源与沟通事宜；把控研究方向、方案设计与教学实验质量；牵头撰写研究报告、结题材料与成果总结，负责项目中期检查、结题验收与成果推广工作。</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（二）调研与文献组（1 名）</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负责政策文件、学术文献、实践案例的搜集、整理与综述撰写；设计调研问卷、访谈提纲，组织实地调研、数据回收与统计分析；撰写前期调研报告，梳理教学问题与需求，为方案设计提供依据；协助完成文献综述与背景材料整理。</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（三）方案设计与教学组（1 名）</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参与教学模式、课程内容、教学方法与活动方案设计；负责教学实验组织、课堂实施、活动开展与过程记录；收集课堂反馈、学生表现与教学过程资料，协助优化教学内容与实施流程；整理教学案例、活动记录与实践素材。</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（四）评价与数据组（1 名）</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参与多元评价体系设计、指标确定与评价实施；负责实验数据录入、整理、统计与分析，生成数据图表与结果；检验教学模式效果，撰写数据分析小结；协助完成结果讨论、成效总结与问题分析。</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（五）材料与总结组（1 名）</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负责项目全过程资料收集、分类、归档与台账管理；整理项目进度记录、图片视频、会议纪要等素材；协助撰写研究论文、总结报告、结题材料；完成申报表格填写、成果排版与材料报送工作。</w:t>
            </w:r>
          </w:p>
          <w:p>
            <w:pPr>
              <w:numPr>
                <w:ilvl w:val="0"/>
                <w:numId w:val="0"/>
              </w:numPr>
              <w:bidi w:val="0"/>
              <w:spacing w:before="120" w:after="120" w:line="360" w:lineRule="auto"/>
              <w:ind w:firstLine="480" w:firstLineChars="200"/>
              <w:jc w:val="left"/>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（六）项目指导教师</w:t>
            </w:r>
          </w:p>
          <w:p>
            <w:pPr>
              <w:numPr>
                <w:ilvl w:val="0"/>
                <w:numId w:val="0"/>
              </w:numPr>
              <w:bidi w:val="0"/>
              <w:spacing w:before="120" w:after="120" w:line="360" w:lineRule="auto"/>
              <w:ind w:firstLine="480" w:firstLineChars="200"/>
              <w:jc w:val="left"/>
              <w:rPr>
                <w:rFonts w:hint="eastAsia"/>
                <w:kern w:val="2"/>
                <w:sz w:val="24"/>
                <w:szCs w:val="24"/>
                <w:lang w:val="en-US" w:eastAsia="zh-CN" w:bidi="ar-SA"/>
              </w:rPr>
            </w:pPr>
            <w:r>
              <w:rPr>
                <w:rFonts w:hint="eastAsia" w:ascii="Times New Roman" w:hAnsi="Times New Roman" w:eastAsia="仿宋" w:cs="Times New Roman"/>
                <w:sz w:val="24"/>
                <w:lang w:val="en-US" w:eastAsia="zh-CN"/>
              </w:rPr>
              <w:t>全程指导项目研究方向、技术路线与实施方案，提供理论与专业支持；审核调研方案、教学设计、评价体系与研究报告；指导教学实验开展、数据处理与成果提炼；协调实践场所与资源，监督项目进度与研究质量，提升项目创新性与规范性</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snapToGrid w:val="0"/>
              <w:spacing w:before="120" w:beforeLines="50"/>
              <w:rPr>
                <w:rFonts w:hint="eastAsia"/>
                <w:sz w:val="24"/>
              </w:rPr>
            </w:pPr>
            <w:r>
              <w:rPr>
                <w:rFonts w:hint="eastAsia"/>
                <w:b/>
                <w:sz w:val="24"/>
              </w:rPr>
              <w:t>三、学校提供条件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firstLine="482" w:firstLineChars="200"/>
              <w:jc w:val="left"/>
              <w:textAlignment w:val="auto"/>
              <w:rPr>
                <w:rFonts w:ascii="仿宋" w:hAnsi="仿宋" w:eastAsia="仿宋" w:cs="仿宋"/>
                <w:b/>
                <w:sz w:val="24"/>
              </w:rPr>
            </w:pPr>
            <w:r>
              <w:rPr>
                <w:rFonts w:hint="eastAsia" w:ascii="仿宋" w:hAnsi="仿宋" w:eastAsia="仿宋" w:cs="仿宋"/>
                <w:b/>
                <w:sz w:val="24"/>
              </w:rPr>
              <w:t>1.</w:t>
            </w:r>
            <w:r>
              <w:rPr>
                <w:rFonts w:hint="eastAsia" w:ascii="仿宋" w:hAnsi="仿宋" w:eastAsia="仿宋" w:cs="仿宋"/>
                <w:b/>
                <w:sz w:val="24"/>
                <w:lang w:val="en-US" w:eastAsia="zh-CN"/>
              </w:rPr>
              <w:t>项目</w:t>
            </w:r>
            <w:r>
              <w:rPr>
                <w:rFonts w:hint="eastAsia" w:ascii="仿宋" w:hAnsi="仿宋" w:eastAsia="仿宋" w:cs="仿宋"/>
                <w:b/>
                <w:sz w:val="24"/>
              </w:rPr>
              <w:t>资金支持</w:t>
            </w:r>
          </w:p>
          <w:p>
            <w:pPr>
              <w:keepNext w:val="0"/>
              <w:keepLines w:val="0"/>
              <w:pageBreakBefore w:val="0"/>
              <w:widowControl w:val="0"/>
              <w:kinsoku/>
              <w:wordWrap/>
              <w:overflowPunct/>
              <w:topLinePunct w:val="0"/>
              <w:autoSpaceDE/>
              <w:autoSpaceDN/>
              <w:bidi w:val="0"/>
              <w:adjustRightInd/>
              <w:snapToGrid/>
              <w:spacing w:line="360" w:lineRule="auto"/>
              <w:ind w:leftChars="0" w:right="0" w:firstLine="480" w:firstLineChars="200"/>
              <w:textAlignment w:val="auto"/>
              <w:rPr>
                <w:rFonts w:ascii="仿宋" w:hAnsi="仿宋" w:eastAsia="仿宋" w:cs="仿宋"/>
                <w:sz w:val="24"/>
              </w:rPr>
            </w:pPr>
            <w:r>
              <w:rPr>
                <w:rFonts w:hint="eastAsia" w:ascii="仿宋" w:hAnsi="仿宋" w:eastAsia="仿宋" w:cs="仿宋"/>
                <w:sz w:val="24"/>
              </w:rPr>
              <w:t>学校提供资金支持，主要用于差旅（实地调研）、图书资料购买、数据采集分析、成果出版打印</w:t>
            </w:r>
            <w:r>
              <w:rPr>
                <w:rFonts w:hint="eastAsia" w:ascii="仿宋" w:hAnsi="仿宋" w:eastAsia="仿宋" w:cs="仿宋"/>
                <w:sz w:val="24"/>
                <w:lang w:eastAsia="zh-CN"/>
              </w:rPr>
              <w:t>、</w:t>
            </w:r>
            <w:r>
              <w:rPr>
                <w:rFonts w:hint="eastAsia" w:ascii="仿宋" w:hAnsi="仿宋" w:eastAsia="仿宋" w:cs="仿宋"/>
                <w:sz w:val="24"/>
                <w:lang w:val="en-US" w:eastAsia="zh-CN"/>
              </w:rPr>
              <w:t>专利申请</w:t>
            </w:r>
            <w:r>
              <w:rPr>
                <w:rFonts w:hint="eastAsia" w:ascii="仿宋" w:hAnsi="仿宋" w:eastAsia="仿宋" w:cs="仿宋"/>
                <w:sz w:val="24"/>
              </w:rPr>
              <w:t>等</w:t>
            </w:r>
            <w:r>
              <w:rPr>
                <w:rFonts w:hint="eastAsia" w:ascii="仿宋" w:hAnsi="仿宋" w:eastAsia="仿宋" w:cs="仿宋"/>
                <w:sz w:val="24"/>
                <w:lang w:eastAsia="zh-CN"/>
              </w:rPr>
              <w:t>，</w:t>
            </w:r>
            <w:r>
              <w:rPr>
                <w:rFonts w:hint="eastAsia" w:ascii="仿宋" w:hAnsi="仿宋" w:eastAsia="仿宋" w:cs="仿宋"/>
                <w:sz w:val="24"/>
              </w:rPr>
              <w:t>以保障、推进项目的实施完成。</w:t>
            </w:r>
          </w:p>
          <w:p>
            <w:pPr>
              <w:keepNext w:val="0"/>
              <w:keepLines w:val="0"/>
              <w:pageBreakBefore w:val="0"/>
              <w:widowControl w:val="0"/>
              <w:kinsoku/>
              <w:wordWrap/>
              <w:overflowPunct/>
              <w:topLinePunct w:val="0"/>
              <w:autoSpaceDE/>
              <w:autoSpaceDN/>
              <w:bidi w:val="0"/>
              <w:adjustRightInd/>
              <w:snapToGrid/>
              <w:spacing w:line="360" w:lineRule="auto"/>
              <w:ind w:leftChars="0" w:right="0" w:firstLine="482" w:firstLineChars="200"/>
              <w:jc w:val="left"/>
              <w:textAlignment w:val="auto"/>
              <w:rPr>
                <w:rFonts w:ascii="仿宋" w:hAnsi="仿宋" w:eastAsia="仿宋" w:cs="仿宋"/>
                <w:sz w:val="24"/>
              </w:rPr>
            </w:pPr>
            <w:r>
              <w:rPr>
                <w:rFonts w:hint="eastAsia" w:ascii="仿宋" w:hAnsi="仿宋" w:cs="仿宋"/>
                <w:b/>
                <w:sz w:val="24"/>
                <w:lang w:val="en-US" w:eastAsia="zh-CN"/>
              </w:rPr>
              <w:t>2</w:t>
            </w:r>
            <w:r>
              <w:rPr>
                <w:rFonts w:hint="eastAsia" w:ascii="仿宋" w:hAnsi="仿宋" w:eastAsia="仿宋" w:cs="仿宋"/>
                <w:b/>
                <w:sz w:val="24"/>
              </w:rPr>
              <w:t>.调研权利支持</w:t>
            </w:r>
          </w:p>
          <w:p>
            <w:pPr>
              <w:keepNext w:val="0"/>
              <w:keepLines w:val="0"/>
              <w:pageBreakBefore w:val="0"/>
              <w:widowControl w:val="0"/>
              <w:kinsoku/>
              <w:wordWrap/>
              <w:overflowPunct/>
              <w:topLinePunct w:val="0"/>
              <w:autoSpaceDE/>
              <w:autoSpaceDN/>
              <w:bidi w:val="0"/>
              <w:adjustRightInd/>
              <w:snapToGrid/>
              <w:spacing w:line="360" w:lineRule="auto"/>
              <w:ind w:leftChars="0" w:right="0" w:firstLine="480" w:firstLineChars="200"/>
              <w:jc w:val="left"/>
              <w:textAlignment w:val="auto"/>
              <w:rPr>
                <w:rFonts w:hint="eastAsia" w:ascii="仿宋" w:hAnsi="仿宋" w:eastAsia="仿宋" w:cs="仿宋"/>
                <w:sz w:val="24"/>
              </w:rPr>
            </w:pPr>
            <w:r>
              <w:rPr>
                <w:rFonts w:hint="eastAsia" w:ascii="仿宋" w:hAnsi="仿宋" w:eastAsia="仿宋" w:cs="仿宋"/>
                <w:sz w:val="24"/>
              </w:rPr>
              <w:t>学校允许并支持各小组可在学校有关场所进行项目探讨。</w:t>
            </w:r>
          </w:p>
          <w:p>
            <w:pPr>
              <w:snapToGrid w:val="0"/>
              <w:spacing w:before="120" w:beforeLines="50"/>
              <w:rPr>
                <w:rFonts w:hint="eastAsia" w:ascii="仿宋" w:hAnsi="仿宋" w:cs="仿宋"/>
                <w:sz w:val="24"/>
                <w:lang w:eastAsia="zh-CN"/>
              </w:rPr>
            </w:pPr>
          </w:p>
          <w:p>
            <w:pPr>
              <w:snapToGrid w:val="0"/>
              <w:spacing w:before="120" w:beforeLines="50"/>
              <w:rPr>
                <w:rFonts w:hint="eastAsia" w:ascii="仿宋" w:hAnsi="仿宋" w:cs="仿宋"/>
                <w:sz w:val="24"/>
                <w:lang w:eastAsia="zh-CN"/>
              </w:rPr>
            </w:pPr>
          </w:p>
          <w:p>
            <w:pPr>
              <w:snapToGrid w:val="0"/>
              <w:spacing w:before="120" w:beforeLines="50"/>
              <w:rPr>
                <w:rFonts w:hint="eastAsia" w:ascii="仿宋" w:hAnsi="仿宋" w:cs="仿宋"/>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snapToGrid w:val="0"/>
              <w:spacing w:before="120" w:beforeLines="50"/>
              <w:rPr>
                <w:rFonts w:hint="eastAsia"/>
                <w:b/>
                <w:sz w:val="24"/>
              </w:rPr>
            </w:pPr>
            <w:r>
              <w:rPr>
                <w:rFonts w:hint="eastAsia"/>
                <w:b/>
                <w:sz w:val="24"/>
              </w:rPr>
              <w:t>四、预期成果</w:t>
            </w:r>
          </w:p>
          <w:p>
            <w:pPr>
              <w:keepNext w:val="0"/>
              <w:keepLines w:val="0"/>
              <w:pageBreakBefore w:val="0"/>
              <w:widowControl w:val="0"/>
              <w:kinsoku/>
              <w:wordWrap/>
              <w:overflowPunct/>
              <w:topLinePunct w:val="0"/>
              <w:autoSpaceDE/>
              <w:autoSpaceDN/>
              <w:bidi w:val="0"/>
              <w:adjustRightInd/>
              <w:snapToGrid/>
              <w:spacing w:line="360" w:lineRule="auto"/>
              <w:ind w:leftChars="0" w:right="0" w:firstLine="480" w:firstLineChars="200"/>
              <w:textAlignment w:val="auto"/>
              <w:rPr>
                <w:rFonts w:hint="eastAsia" w:ascii="Times New Roman" w:hAnsi="Times New Roman" w:eastAsia="仿宋" w:cs="Times New Roman"/>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Chars="0" w:right="0" w:firstLine="480" w:firstLineChars="200"/>
              <w:textAlignment w:val="auto"/>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1.申报软著、专利1-2项；</w:t>
            </w:r>
          </w:p>
          <w:p>
            <w:pPr>
              <w:keepNext w:val="0"/>
              <w:keepLines w:val="0"/>
              <w:pageBreakBefore w:val="0"/>
              <w:widowControl w:val="0"/>
              <w:kinsoku/>
              <w:wordWrap/>
              <w:overflowPunct/>
              <w:topLinePunct w:val="0"/>
              <w:autoSpaceDE/>
              <w:autoSpaceDN/>
              <w:bidi w:val="0"/>
              <w:adjustRightInd/>
              <w:snapToGrid/>
              <w:spacing w:line="360" w:lineRule="auto"/>
              <w:ind w:leftChars="0" w:right="0" w:firstLine="480" w:firstLineChars="200"/>
              <w:textAlignment w:val="auto"/>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2.发表相关论文1-2篇</w:t>
            </w:r>
          </w:p>
          <w:p>
            <w:pPr>
              <w:keepNext w:val="0"/>
              <w:keepLines w:val="0"/>
              <w:pageBreakBefore w:val="0"/>
              <w:widowControl w:val="0"/>
              <w:kinsoku/>
              <w:wordWrap/>
              <w:overflowPunct/>
              <w:topLinePunct w:val="0"/>
              <w:autoSpaceDE/>
              <w:autoSpaceDN/>
              <w:bidi w:val="0"/>
              <w:adjustRightInd/>
              <w:snapToGrid/>
              <w:spacing w:line="360" w:lineRule="auto"/>
              <w:ind w:leftChars="0" w:right="0" w:firstLine="480" w:firstLineChars="200"/>
              <w:textAlignment w:val="auto"/>
              <w:rPr>
                <w:rFonts w:hint="eastAsia"/>
                <w:sz w:val="24"/>
              </w:rPr>
            </w:pPr>
            <w:r>
              <w:rPr>
                <w:rFonts w:hint="eastAsia" w:ascii="Times New Roman" w:hAnsi="Times New Roman" w:eastAsia="仿宋" w:cs="Times New Roman"/>
                <w:sz w:val="24"/>
                <w:lang w:val="en-US" w:eastAsia="zh-CN"/>
              </w:rPr>
              <w:t>3.完成项目内容初步建设。</w:t>
            </w: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snapToGrid w:val="0"/>
              <w:spacing w:before="120" w:beforeLines="50"/>
              <w:rPr>
                <w:rFonts w:hint="eastAsia"/>
                <w:b/>
                <w:sz w:val="24"/>
              </w:rPr>
            </w:pPr>
            <w:r>
              <w:rPr>
                <w:rFonts w:hint="eastAsia"/>
                <w:b/>
                <w:sz w:val="24"/>
              </w:rPr>
              <w:t>五、经费预算（不超出1万元）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firstLine="482" w:firstLineChars="200"/>
              <w:jc w:val="left"/>
              <w:textAlignment w:val="auto"/>
              <w:rPr>
                <w:rFonts w:hint="eastAsia"/>
                <w:b/>
                <w:sz w:val="24"/>
              </w:rPr>
            </w:pPr>
          </w:p>
          <w:tbl>
            <w:tblPr>
              <w:tblStyle w:val="11"/>
              <w:tblW w:w="91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2301"/>
              <w:gridCol w:w="4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开支项目</w:t>
                  </w:r>
                </w:p>
              </w:tc>
              <w:tc>
                <w:tcPr>
                  <w:tcW w:w="230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预算经费（元）</w:t>
                  </w:r>
                </w:p>
              </w:tc>
              <w:tc>
                <w:tcPr>
                  <w:tcW w:w="409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主要用途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项目技术研发费用</w:t>
                  </w:r>
                </w:p>
              </w:tc>
              <w:tc>
                <w:tcPr>
                  <w:tcW w:w="230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3000</w:t>
                  </w:r>
                </w:p>
              </w:tc>
              <w:tc>
                <w:tcPr>
                  <w:tcW w:w="409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系统研发成本与设备需求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劳务费</w:t>
                  </w:r>
                </w:p>
              </w:tc>
              <w:tc>
                <w:tcPr>
                  <w:tcW w:w="230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2000</w:t>
                  </w:r>
                </w:p>
              </w:tc>
              <w:tc>
                <w:tcPr>
                  <w:tcW w:w="409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支付团队调研费用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差旅费</w:t>
                  </w:r>
                </w:p>
              </w:tc>
              <w:tc>
                <w:tcPr>
                  <w:tcW w:w="230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3000</w:t>
                  </w:r>
                </w:p>
              </w:tc>
              <w:tc>
                <w:tcPr>
                  <w:tcW w:w="409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eastAsia"/>
                      <w:vertAlign w:val="baseline"/>
                      <w:lang w:val="en-US" w:eastAsia="zh-CN"/>
                    </w:rPr>
                  </w:pPr>
                  <w:r>
                    <w:rPr>
                      <w:rFonts w:hint="eastAsia"/>
                      <w:vertAlign w:val="baseline"/>
                      <w:lang w:val="en-US" w:eastAsia="zh-CN"/>
                    </w:rPr>
                    <w:t>项目调研费用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8" w:hRule="atLeast"/>
              </w:trPr>
              <w:tc>
                <w:tcPr>
                  <w:tcW w:w="272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资料印刷、论文发表</w:t>
                  </w:r>
                </w:p>
              </w:tc>
              <w:tc>
                <w:tcPr>
                  <w:tcW w:w="230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2000</w:t>
                  </w:r>
                </w:p>
              </w:tc>
              <w:tc>
                <w:tcPr>
                  <w:tcW w:w="409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调查问卷及打印复印与专利申请、论文发布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72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合计</w:t>
                  </w:r>
                </w:p>
              </w:tc>
              <w:tc>
                <w:tcPr>
                  <w:tcW w:w="6397"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Chars="0" w:right="0" w:firstLine="420" w:firstLineChars="200"/>
                    <w:jc w:val="center"/>
                    <w:textAlignment w:val="auto"/>
                    <w:rPr>
                      <w:rFonts w:hint="default"/>
                      <w:vertAlign w:val="baseline"/>
                      <w:lang w:val="en-US" w:eastAsia="zh-CN"/>
                    </w:rPr>
                  </w:pPr>
                  <w:r>
                    <w:rPr>
                      <w:rFonts w:hint="eastAsia"/>
                      <w:vertAlign w:val="baseline"/>
                      <w:lang w:val="en-US" w:eastAsia="zh-CN"/>
                    </w:rPr>
                    <w:t>10000</w:t>
                  </w:r>
                </w:p>
              </w:tc>
            </w:tr>
          </w:tbl>
          <w:p>
            <w:pPr>
              <w:snapToGrid w:val="0"/>
              <w:ind w:firstLine="480" w:firstLineChars="0"/>
              <w:rPr>
                <w:rFonts w:hint="eastAsia"/>
                <w:b/>
                <w:kern w:val="2"/>
                <w:sz w:val="24"/>
                <w:szCs w:val="24"/>
                <w:lang w:val="en-US" w:eastAsia="zh-CN" w:bidi="ar-SA"/>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snapToGrid w:val="0"/>
              <w:spacing w:before="120" w:beforeLines="50"/>
              <w:rPr>
                <w:rFonts w:hint="eastAsia"/>
                <w:b/>
                <w:sz w:val="24"/>
              </w:rPr>
            </w:pPr>
            <w:r>
              <w:rPr>
                <w:rFonts w:hint="eastAsia"/>
                <w:b/>
                <w:sz w:val="24"/>
              </w:rPr>
              <w:t>六、导师推荐意见</w:t>
            </w:r>
          </w:p>
          <w:p>
            <w:pPr>
              <w:snapToGrid w:val="0"/>
              <w:spacing w:before="120" w:beforeLines="50"/>
              <w:rPr>
                <w:rFonts w:hint="eastAsia"/>
                <w:sz w:val="24"/>
              </w:rPr>
            </w:pPr>
          </w:p>
          <w:p>
            <w:pPr>
              <w:snapToGrid w:val="0"/>
              <w:spacing w:before="120" w:beforeLines="50"/>
              <w:rPr>
                <w:rFonts w:hint="eastAsia"/>
                <w:sz w:val="24"/>
              </w:rPr>
            </w:pPr>
          </w:p>
          <w:p>
            <w:pPr>
              <w:snapToGrid w:val="0"/>
              <w:rPr>
                <w:rFonts w:hint="eastAsia"/>
                <w:sz w:val="24"/>
              </w:rPr>
            </w:pPr>
            <w:r>
              <w:rPr>
                <w:rFonts w:hint="eastAsia"/>
                <w:sz w:val="24"/>
              </w:rPr>
              <w:t xml:space="preserve">                                              </w:t>
            </w:r>
          </w:p>
          <w:p>
            <w:pPr>
              <w:snapToGrid w:val="0"/>
              <w:rPr>
                <w:rFonts w:hint="eastAsia"/>
                <w:sz w:val="24"/>
              </w:rPr>
            </w:pPr>
          </w:p>
          <w:p>
            <w:pPr>
              <w:snapToGrid w:val="0"/>
              <w:rPr>
                <w:rFonts w:hint="eastAsia"/>
                <w:sz w:val="24"/>
              </w:rPr>
            </w:pPr>
            <w:r>
              <w:rPr>
                <w:rFonts w:hint="eastAsia"/>
                <w:sz w:val="24"/>
              </w:rPr>
              <w:t xml:space="preserve">                                                    签名：</w:t>
            </w:r>
          </w:p>
          <w:p>
            <w:pPr>
              <w:snapToGrid w:val="0"/>
              <w:rPr>
                <w:rFonts w:hint="eastAsia"/>
                <w:sz w:val="24"/>
              </w:rPr>
            </w:pPr>
          </w:p>
          <w:p>
            <w:pPr>
              <w:snapToGrid w:val="0"/>
              <w:spacing w:before="120" w:beforeLines="50"/>
              <w:rPr>
                <w:rFonts w:hint="eastAsia"/>
                <w:kern w:val="2"/>
                <w:sz w:val="24"/>
                <w:szCs w:val="24"/>
                <w:lang w:val="en-US" w:eastAsia="zh-CN" w:bidi="ar-SA"/>
              </w:rPr>
            </w:pPr>
            <w:r>
              <w:rPr>
                <w:rFonts w:hint="eastAsia"/>
                <w:sz w:val="24"/>
              </w:rPr>
              <w:t xml:space="preserve">                                                  年   月    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0" w:type="auto"/>
            <w:noWrap w:val="0"/>
            <w:vAlign w:val="top"/>
          </w:tcPr>
          <w:p>
            <w:pPr>
              <w:snapToGrid w:val="0"/>
              <w:spacing w:before="120" w:beforeLines="50"/>
              <w:rPr>
                <w:rFonts w:hint="eastAsia"/>
                <w:b/>
                <w:sz w:val="24"/>
              </w:rPr>
            </w:pPr>
            <w:r>
              <w:rPr>
                <w:rFonts w:hint="eastAsia"/>
                <w:b/>
                <w:sz w:val="24"/>
              </w:rPr>
              <w:t>七、学院推荐意见</w:t>
            </w: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spacing w:before="120" w:beforeLines="50"/>
              <w:rPr>
                <w:rFonts w:hint="eastAsia"/>
                <w:sz w:val="24"/>
              </w:rPr>
            </w:pPr>
          </w:p>
          <w:p>
            <w:pPr>
              <w:snapToGrid w:val="0"/>
              <w:ind w:firstLine="3960" w:firstLineChars="1650"/>
              <w:rPr>
                <w:rFonts w:hint="eastAsia"/>
                <w:sz w:val="24"/>
              </w:rPr>
            </w:pPr>
            <w:r>
              <w:rPr>
                <w:rFonts w:hint="eastAsia"/>
                <w:sz w:val="24"/>
              </w:rPr>
              <w:t>院系负责人签名：         学院盖章：</w:t>
            </w:r>
          </w:p>
          <w:p>
            <w:pPr>
              <w:snapToGrid w:val="0"/>
              <w:ind w:firstLine="3120" w:firstLineChars="1300"/>
              <w:rPr>
                <w:rFonts w:hint="eastAsia"/>
                <w:sz w:val="24"/>
              </w:rPr>
            </w:pPr>
          </w:p>
          <w:p>
            <w:pPr>
              <w:snapToGrid w:val="0"/>
              <w:spacing w:before="120" w:beforeLines="50"/>
              <w:rPr>
                <w:rFonts w:hint="eastAsia"/>
                <w:sz w:val="24"/>
              </w:rPr>
            </w:pPr>
            <w:r>
              <w:rPr>
                <w:rFonts w:hint="eastAsia"/>
                <w:sz w:val="24"/>
              </w:rPr>
              <w:t xml:space="preserve">                                                   年   月    日</w:t>
            </w:r>
          </w:p>
          <w:p>
            <w:pPr>
              <w:snapToGrid w:val="0"/>
              <w:spacing w:before="120" w:beforeLines="50"/>
              <w:rPr>
                <w:rFonts w:hint="eastAsia"/>
                <w:b/>
                <w:kern w:val="2"/>
                <w:sz w:val="24"/>
                <w:szCs w:val="24"/>
                <w:lang w:val="en-US" w:eastAsia="zh-CN" w:bidi="ar-SA"/>
              </w:rPr>
            </w:pPr>
          </w:p>
        </w:tc>
      </w:tr>
    </w:tbl>
    <w:p>
      <w:pPr>
        <w:rPr>
          <w:rFonts w:hint="eastAsia" w:ascii="楷体_GB2312" w:eastAsia="楷体_GB2312"/>
          <w:sz w:val="24"/>
        </w:rPr>
      </w:pPr>
      <w:r>
        <w:rPr>
          <w:rFonts w:hint="eastAsia" w:ascii="楷体_GB2312" w:eastAsia="楷体_GB2312"/>
          <w:sz w:val="24"/>
        </w:rPr>
        <w:t>注：表格栏高不够可增加。</w:t>
      </w:r>
    </w:p>
    <w:sectPr>
      <w:footerReference r:id="rId3" w:type="default"/>
      <w:footerReference r:id="rId4" w:type="even"/>
      <w:type w:val="nextColumn"/>
      <w:pgSz w:w="11906" w:h="16838"/>
      <w:pgMar w:top="1701" w:right="1588" w:bottom="1701" w:left="1588" w:header="851" w:footer="992" w:gutter="0"/>
      <w:pgBorders>
        <w:top w:val="none" w:sz="0" w:space="0"/>
        <w:left w:val="none" w:sz="0" w:space="0"/>
        <w:bottom w:val="none" w:sz="0" w:space="0"/>
        <w:right w:val="none" w:sz="0" w:space="0"/>
      </w:pgBorders>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DE26458-3F99-4904-8F53-59D22570746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embedRegular r:id="rId2" w:fontKey="{3BA1AC84-07AD-42A5-9B2D-4A7989435AA2}"/>
  </w:font>
  <w:font w:name="方正小标宋简体">
    <w:panose1 w:val="02000000000000000000"/>
    <w:charset w:val="86"/>
    <w:family w:val="script"/>
    <w:pitch w:val="default"/>
    <w:sig w:usb0="00000001" w:usb1="08000000" w:usb2="00000000" w:usb3="00000000" w:csb0="00040000" w:csb1="00000000"/>
    <w:embedRegular r:id="rId3" w:fontKey="{8C6208C2-5772-4AAC-8131-BFCBC08426B4}"/>
  </w:font>
  <w:font w:name="华文中宋">
    <w:panose1 w:val="02010600040101010101"/>
    <w:charset w:val="86"/>
    <w:family w:val="auto"/>
    <w:pitch w:val="default"/>
    <w:sig w:usb0="00000287" w:usb1="080F0000" w:usb2="00000000" w:usb3="00000000" w:csb0="0004009F" w:csb1="DFD70000"/>
    <w:embedRegular r:id="rId4" w:fontKey="{BEB2BDBE-9784-4F33-8866-809D111DAB12}"/>
  </w:font>
  <w:font w:name="楷体_GB2312">
    <w:altName w:val="楷体"/>
    <w:panose1 w:val="00000000000000000000"/>
    <w:charset w:val="86"/>
    <w:family w:val="modern"/>
    <w:pitch w:val="default"/>
    <w:sig w:usb0="00000001" w:usb1="080E0000" w:usb2="00000010" w:usb3="00000000" w:csb0="00040000" w:csb1="00000000"/>
    <w:embedRegular r:id="rId5" w:fontKey="{2B7D49BD-4758-4E0C-B706-555DF3A5B444}"/>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lang/>
      </w:rPr>
      <w:t>2</w:t>
    </w:r>
    <w:r>
      <w:rPr>
        <w:rStyle w:val="13"/>
      </w:rPr>
      <w:fldChar w:fldCharType="end"/>
    </w: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lang/>
      </w:rPr>
      <w:t>21</w:t>
    </w:r>
    <w:r>
      <w:rPr>
        <w:rStyle w:val="13"/>
      </w:rPr>
      <w:fldChar w:fldCharType="end"/>
    </w:r>
  </w:p>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ODMxYTE0ZTc0ZGU3Y2QwODc3MzYzN2Q1YmNiM2EifQ=="/>
  </w:docVars>
  <w:rsids>
    <w:rsidRoot w:val="00924346"/>
    <w:rsid w:val="00013A28"/>
    <w:rsid w:val="00013E25"/>
    <w:rsid w:val="00021C52"/>
    <w:rsid w:val="00021FF5"/>
    <w:rsid w:val="00022311"/>
    <w:rsid w:val="00025A00"/>
    <w:rsid w:val="00026C22"/>
    <w:rsid w:val="0003212F"/>
    <w:rsid w:val="00033412"/>
    <w:rsid w:val="00033AEA"/>
    <w:rsid w:val="00034623"/>
    <w:rsid w:val="00054FE6"/>
    <w:rsid w:val="00067930"/>
    <w:rsid w:val="00071DFA"/>
    <w:rsid w:val="000745BF"/>
    <w:rsid w:val="00077E0B"/>
    <w:rsid w:val="00084E47"/>
    <w:rsid w:val="000860A1"/>
    <w:rsid w:val="00086653"/>
    <w:rsid w:val="00093D6E"/>
    <w:rsid w:val="000967BF"/>
    <w:rsid w:val="00097941"/>
    <w:rsid w:val="000A4631"/>
    <w:rsid w:val="000A508B"/>
    <w:rsid w:val="000A5C95"/>
    <w:rsid w:val="000B45BC"/>
    <w:rsid w:val="000B5230"/>
    <w:rsid w:val="000B6603"/>
    <w:rsid w:val="000C0C43"/>
    <w:rsid w:val="000C0F1C"/>
    <w:rsid w:val="000C12AB"/>
    <w:rsid w:val="000C57A0"/>
    <w:rsid w:val="000C5FF8"/>
    <w:rsid w:val="000D0231"/>
    <w:rsid w:val="000D3365"/>
    <w:rsid w:val="000D6F9B"/>
    <w:rsid w:val="000D717A"/>
    <w:rsid w:val="000E145B"/>
    <w:rsid w:val="000E4787"/>
    <w:rsid w:val="000F2B87"/>
    <w:rsid w:val="000F3E9B"/>
    <w:rsid w:val="000F5D65"/>
    <w:rsid w:val="00101388"/>
    <w:rsid w:val="00110171"/>
    <w:rsid w:val="00111A84"/>
    <w:rsid w:val="00113264"/>
    <w:rsid w:val="00113571"/>
    <w:rsid w:val="00121075"/>
    <w:rsid w:val="001219AD"/>
    <w:rsid w:val="00122A63"/>
    <w:rsid w:val="00123CA5"/>
    <w:rsid w:val="00127BF6"/>
    <w:rsid w:val="00131A61"/>
    <w:rsid w:val="00140AE0"/>
    <w:rsid w:val="00144142"/>
    <w:rsid w:val="00146176"/>
    <w:rsid w:val="00146C61"/>
    <w:rsid w:val="0015405F"/>
    <w:rsid w:val="001629A3"/>
    <w:rsid w:val="00173F3B"/>
    <w:rsid w:val="00174DF3"/>
    <w:rsid w:val="001763AF"/>
    <w:rsid w:val="00181893"/>
    <w:rsid w:val="00184A86"/>
    <w:rsid w:val="0018714F"/>
    <w:rsid w:val="00194F60"/>
    <w:rsid w:val="001A7DC7"/>
    <w:rsid w:val="001B0D73"/>
    <w:rsid w:val="001B769C"/>
    <w:rsid w:val="001C123A"/>
    <w:rsid w:val="001C3AD2"/>
    <w:rsid w:val="001D0709"/>
    <w:rsid w:val="001E05F1"/>
    <w:rsid w:val="001E323E"/>
    <w:rsid w:val="001E59DF"/>
    <w:rsid w:val="001F328F"/>
    <w:rsid w:val="001F5B46"/>
    <w:rsid w:val="001F74CE"/>
    <w:rsid w:val="00203A1E"/>
    <w:rsid w:val="0020678C"/>
    <w:rsid w:val="002074B6"/>
    <w:rsid w:val="00207614"/>
    <w:rsid w:val="002125F5"/>
    <w:rsid w:val="00212635"/>
    <w:rsid w:val="002152EB"/>
    <w:rsid w:val="00223251"/>
    <w:rsid w:val="00225233"/>
    <w:rsid w:val="002401BA"/>
    <w:rsid w:val="00240687"/>
    <w:rsid w:val="00244A06"/>
    <w:rsid w:val="00245899"/>
    <w:rsid w:val="0024592A"/>
    <w:rsid w:val="00245F2D"/>
    <w:rsid w:val="00260046"/>
    <w:rsid w:val="00263565"/>
    <w:rsid w:val="00264B09"/>
    <w:rsid w:val="00267EA6"/>
    <w:rsid w:val="00272980"/>
    <w:rsid w:val="0027675A"/>
    <w:rsid w:val="00277C87"/>
    <w:rsid w:val="002848A2"/>
    <w:rsid w:val="00292FAE"/>
    <w:rsid w:val="0029499E"/>
    <w:rsid w:val="002965F4"/>
    <w:rsid w:val="002A32F9"/>
    <w:rsid w:val="002C3172"/>
    <w:rsid w:val="002C4486"/>
    <w:rsid w:val="002C6111"/>
    <w:rsid w:val="002C7FB5"/>
    <w:rsid w:val="002D7593"/>
    <w:rsid w:val="002D7C4A"/>
    <w:rsid w:val="002E5646"/>
    <w:rsid w:val="002F25A0"/>
    <w:rsid w:val="002F4310"/>
    <w:rsid w:val="002F7E24"/>
    <w:rsid w:val="00304192"/>
    <w:rsid w:val="00304810"/>
    <w:rsid w:val="00307844"/>
    <w:rsid w:val="00307F77"/>
    <w:rsid w:val="003141AC"/>
    <w:rsid w:val="00316004"/>
    <w:rsid w:val="00323CE4"/>
    <w:rsid w:val="00323DE2"/>
    <w:rsid w:val="00326408"/>
    <w:rsid w:val="00327541"/>
    <w:rsid w:val="00336F39"/>
    <w:rsid w:val="00340FE7"/>
    <w:rsid w:val="0034215D"/>
    <w:rsid w:val="00344A15"/>
    <w:rsid w:val="00344D84"/>
    <w:rsid w:val="0035104F"/>
    <w:rsid w:val="00351E47"/>
    <w:rsid w:val="00354CF3"/>
    <w:rsid w:val="0035608E"/>
    <w:rsid w:val="0035772B"/>
    <w:rsid w:val="00362499"/>
    <w:rsid w:val="00362509"/>
    <w:rsid w:val="00362EC1"/>
    <w:rsid w:val="00363D49"/>
    <w:rsid w:val="00365587"/>
    <w:rsid w:val="0036633E"/>
    <w:rsid w:val="00370558"/>
    <w:rsid w:val="00371D20"/>
    <w:rsid w:val="003720AB"/>
    <w:rsid w:val="00372EA7"/>
    <w:rsid w:val="00376241"/>
    <w:rsid w:val="00382424"/>
    <w:rsid w:val="00384777"/>
    <w:rsid w:val="00385C01"/>
    <w:rsid w:val="00390571"/>
    <w:rsid w:val="0039080B"/>
    <w:rsid w:val="00390F6D"/>
    <w:rsid w:val="00391BFC"/>
    <w:rsid w:val="00393EF2"/>
    <w:rsid w:val="00395649"/>
    <w:rsid w:val="003957CF"/>
    <w:rsid w:val="003969EA"/>
    <w:rsid w:val="003A153F"/>
    <w:rsid w:val="003A5E1A"/>
    <w:rsid w:val="003A7725"/>
    <w:rsid w:val="003B08CF"/>
    <w:rsid w:val="003C3D44"/>
    <w:rsid w:val="003C4302"/>
    <w:rsid w:val="003C7598"/>
    <w:rsid w:val="003D2CF3"/>
    <w:rsid w:val="003E035C"/>
    <w:rsid w:val="003E143A"/>
    <w:rsid w:val="003F3DE5"/>
    <w:rsid w:val="003F75F7"/>
    <w:rsid w:val="003F7766"/>
    <w:rsid w:val="00403230"/>
    <w:rsid w:val="00403A7E"/>
    <w:rsid w:val="00416ECA"/>
    <w:rsid w:val="004212F3"/>
    <w:rsid w:val="0043549B"/>
    <w:rsid w:val="00437F63"/>
    <w:rsid w:val="0044023B"/>
    <w:rsid w:val="00443897"/>
    <w:rsid w:val="004460E2"/>
    <w:rsid w:val="0045074A"/>
    <w:rsid w:val="004515BA"/>
    <w:rsid w:val="00454E1A"/>
    <w:rsid w:val="004559AA"/>
    <w:rsid w:val="0046304D"/>
    <w:rsid w:val="00463944"/>
    <w:rsid w:val="00463C84"/>
    <w:rsid w:val="00464471"/>
    <w:rsid w:val="00466B18"/>
    <w:rsid w:val="004678F8"/>
    <w:rsid w:val="0047096D"/>
    <w:rsid w:val="00475DE7"/>
    <w:rsid w:val="00480BA6"/>
    <w:rsid w:val="00483642"/>
    <w:rsid w:val="00486C69"/>
    <w:rsid w:val="00494F83"/>
    <w:rsid w:val="00497A99"/>
    <w:rsid w:val="004A7401"/>
    <w:rsid w:val="004B5CAB"/>
    <w:rsid w:val="004B6951"/>
    <w:rsid w:val="004C0DC0"/>
    <w:rsid w:val="004D0913"/>
    <w:rsid w:val="004D19D4"/>
    <w:rsid w:val="004D4999"/>
    <w:rsid w:val="004D4FC6"/>
    <w:rsid w:val="004D7B1A"/>
    <w:rsid w:val="004E0C6A"/>
    <w:rsid w:val="004E240F"/>
    <w:rsid w:val="004F43C1"/>
    <w:rsid w:val="004F6602"/>
    <w:rsid w:val="0050167E"/>
    <w:rsid w:val="005047D1"/>
    <w:rsid w:val="00506997"/>
    <w:rsid w:val="00507A15"/>
    <w:rsid w:val="00513244"/>
    <w:rsid w:val="005139BF"/>
    <w:rsid w:val="00524868"/>
    <w:rsid w:val="00531CE0"/>
    <w:rsid w:val="0053268C"/>
    <w:rsid w:val="00533A79"/>
    <w:rsid w:val="00534611"/>
    <w:rsid w:val="005346F7"/>
    <w:rsid w:val="005363BD"/>
    <w:rsid w:val="005439A1"/>
    <w:rsid w:val="0054467F"/>
    <w:rsid w:val="00545303"/>
    <w:rsid w:val="005467D9"/>
    <w:rsid w:val="00547953"/>
    <w:rsid w:val="00550680"/>
    <w:rsid w:val="00550980"/>
    <w:rsid w:val="0055412B"/>
    <w:rsid w:val="00554C8B"/>
    <w:rsid w:val="00567E0E"/>
    <w:rsid w:val="00572710"/>
    <w:rsid w:val="00576FAC"/>
    <w:rsid w:val="005A1D83"/>
    <w:rsid w:val="005C54C2"/>
    <w:rsid w:val="005C5C9F"/>
    <w:rsid w:val="005D167A"/>
    <w:rsid w:val="005D4574"/>
    <w:rsid w:val="005D4AD6"/>
    <w:rsid w:val="005D545E"/>
    <w:rsid w:val="005D72D6"/>
    <w:rsid w:val="005E1921"/>
    <w:rsid w:val="005E1926"/>
    <w:rsid w:val="005E2EAC"/>
    <w:rsid w:val="00602CF7"/>
    <w:rsid w:val="00607284"/>
    <w:rsid w:val="006111E2"/>
    <w:rsid w:val="00611ECD"/>
    <w:rsid w:val="00613539"/>
    <w:rsid w:val="00640921"/>
    <w:rsid w:val="006417E2"/>
    <w:rsid w:val="00644763"/>
    <w:rsid w:val="00644766"/>
    <w:rsid w:val="00646A5E"/>
    <w:rsid w:val="006472C7"/>
    <w:rsid w:val="006517C5"/>
    <w:rsid w:val="00652838"/>
    <w:rsid w:val="00663FA4"/>
    <w:rsid w:val="0067673C"/>
    <w:rsid w:val="006873DA"/>
    <w:rsid w:val="006951B6"/>
    <w:rsid w:val="006957BC"/>
    <w:rsid w:val="006A79A0"/>
    <w:rsid w:val="006B3EFB"/>
    <w:rsid w:val="006C5C8E"/>
    <w:rsid w:val="006D0745"/>
    <w:rsid w:val="006D6864"/>
    <w:rsid w:val="006D724A"/>
    <w:rsid w:val="006E3B83"/>
    <w:rsid w:val="006E499E"/>
    <w:rsid w:val="006E6A0F"/>
    <w:rsid w:val="006F3003"/>
    <w:rsid w:val="00700571"/>
    <w:rsid w:val="00701A1B"/>
    <w:rsid w:val="00701CCF"/>
    <w:rsid w:val="00713FE7"/>
    <w:rsid w:val="007160BE"/>
    <w:rsid w:val="007217B5"/>
    <w:rsid w:val="00722D3B"/>
    <w:rsid w:val="00734D1F"/>
    <w:rsid w:val="00736F48"/>
    <w:rsid w:val="00740D51"/>
    <w:rsid w:val="007416E6"/>
    <w:rsid w:val="00745671"/>
    <w:rsid w:val="00747F85"/>
    <w:rsid w:val="007553D7"/>
    <w:rsid w:val="0075565C"/>
    <w:rsid w:val="0075617E"/>
    <w:rsid w:val="00763C7B"/>
    <w:rsid w:val="00773401"/>
    <w:rsid w:val="007823CD"/>
    <w:rsid w:val="00782A94"/>
    <w:rsid w:val="007834AD"/>
    <w:rsid w:val="00784AE7"/>
    <w:rsid w:val="007878C3"/>
    <w:rsid w:val="00791EC2"/>
    <w:rsid w:val="007B4F9A"/>
    <w:rsid w:val="007C3D93"/>
    <w:rsid w:val="007C4132"/>
    <w:rsid w:val="007C4C2B"/>
    <w:rsid w:val="007C5499"/>
    <w:rsid w:val="007C651D"/>
    <w:rsid w:val="007D0261"/>
    <w:rsid w:val="007D7477"/>
    <w:rsid w:val="007E35A4"/>
    <w:rsid w:val="007E4FA7"/>
    <w:rsid w:val="007E68BB"/>
    <w:rsid w:val="007F1BFC"/>
    <w:rsid w:val="007F31BD"/>
    <w:rsid w:val="007F33CA"/>
    <w:rsid w:val="008009A7"/>
    <w:rsid w:val="008014D3"/>
    <w:rsid w:val="0080347B"/>
    <w:rsid w:val="00804605"/>
    <w:rsid w:val="00820B50"/>
    <w:rsid w:val="00832445"/>
    <w:rsid w:val="008341C1"/>
    <w:rsid w:val="00836224"/>
    <w:rsid w:val="00843963"/>
    <w:rsid w:val="0085135F"/>
    <w:rsid w:val="00853621"/>
    <w:rsid w:val="0085488D"/>
    <w:rsid w:val="00862FA1"/>
    <w:rsid w:val="00863163"/>
    <w:rsid w:val="00866E3D"/>
    <w:rsid w:val="008752F5"/>
    <w:rsid w:val="00877BF1"/>
    <w:rsid w:val="0088678F"/>
    <w:rsid w:val="008877BD"/>
    <w:rsid w:val="00890A32"/>
    <w:rsid w:val="0089656C"/>
    <w:rsid w:val="00897458"/>
    <w:rsid w:val="008A177F"/>
    <w:rsid w:val="008A452A"/>
    <w:rsid w:val="008A5017"/>
    <w:rsid w:val="008A66B7"/>
    <w:rsid w:val="008B7F92"/>
    <w:rsid w:val="008C0F58"/>
    <w:rsid w:val="008C2158"/>
    <w:rsid w:val="008D30EE"/>
    <w:rsid w:val="008D5005"/>
    <w:rsid w:val="008D6B05"/>
    <w:rsid w:val="008D6F87"/>
    <w:rsid w:val="008E2436"/>
    <w:rsid w:val="008F4BCA"/>
    <w:rsid w:val="00905552"/>
    <w:rsid w:val="00910894"/>
    <w:rsid w:val="009233A7"/>
    <w:rsid w:val="00924346"/>
    <w:rsid w:val="00925185"/>
    <w:rsid w:val="00925A99"/>
    <w:rsid w:val="00926882"/>
    <w:rsid w:val="00927DA9"/>
    <w:rsid w:val="00930179"/>
    <w:rsid w:val="00934A37"/>
    <w:rsid w:val="00936F1C"/>
    <w:rsid w:val="00937337"/>
    <w:rsid w:val="00937B25"/>
    <w:rsid w:val="00941A03"/>
    <w:rsid w:val="00942110"/>
    <w:rsid w:val="00942CFC"/>
    <w:rsid w:val="00943195"/>
    <w:rsid w:val="00950142"/>
    <w:rsid w:val="00951C93"/>
    <w:rsid w:val="009564B0"/>
    <w:rsid w:val="009610D2"/>
    <w:rsid w:val="0096294C"/>
    <w:rsid w:val="0096391C"/>
    <w:rsid w:val="009721D6"/>
    <w:rsid w:val="00973447"/>
    <w:rsid w:val="009803DC"/>
    <w:rsid w:val="009839BC"/>
    <w:rsid w:val="00992264"/>
    <w:rsid w:val="00995A9C"/>
    <w:rsid w:val="009A10D9"/>
    <w:rsid w:val="009A15C9"/>
    <w:rsid w:val="009B0CE9"/>
    <w:rsid w:val="009B3345"/>
    <w:rsid w:val="009B43D3"/>
    <w:rsid w:val="009B596C"/>
    <w:rsid w:val="009C5BC6"/>
    <w:rsid w:val="009C7ACD"/>
    <w:rsid w:val="009C7EE1"/>
    <w:rsid w:val="009D07EE"/>
    <w:rsid w:val="009D0E56"/>
    <w:rsid w:val="009D51F1"/>
    <w:rsid w:val="009E086B"/>
    <w:rsid w:val="009E67AA"/>
    <w:rsid w:val="009E6B66"/>
    <w:rsid w:val="009F1C95"/>
    <w:rsid w:val="00A001DA"/>
    <w:rsid w:val="00A01874"/>
    <w:rsid w:val="00A0288F"/>
    <w:rsid w:val="00A137AB"/>
    <w:rsid w:val="00A244A6"/>
    <w:rsid w:val="00A2537D"/>
    <w:rsid w:val="00A3177C"/>
    <w:rsid w:val="00A31E51"/>
    <w:rsid w:val="00A3472B"/>
    <w:rsid w:val="00A350A1"/>
    <w:rsid w:val="00A3719B"/>
    <w:rsid w:val="00A410B2"/>
    <w:rsid w:val="00A5052F"/>
    <w:rsid w:val="00A5466D"/>
    <w:rsid w:val="00A631BF"/>
    <w:rsid w:val="00A66A4A"/>
    <w:rsid w:val="00A70D57"/>
    <w:rsid w:val="00A74154"/>
    <w:rsid w:val="00A743B3"/>
    <w:rsid w:val="00A76EC5"/>
    <w:rsid w:val="00A81090"/>
    <w:rsid w:val="00A860CE"/>
    <w:rsid w:val="00A86791"/>
    <w:rsid w:val="00A91199"/>
    <w:rsid w:val="00A93C40"/>
    <w:rsid w:val="00AA1214"/>
    <w:rsid w:val="00AA1607"/>
    <w:rsid w:val="00AA18B7"/>
    <w:rsid w:val="00AB110C"/>
    <w:rsid w:val="00AB1C97"/>
    <w:rsid w:val="00AD0545"/>
    <w:rsid w:val="00AD0B14"/>
    <w:rsid w:val="00AD527D"/>
    <w:rsid w:val="00AE5B7C"/>
    <w:rsid w:val="00AE7689"/>
    <w:rsid w:val="00AF36C9"/>
    <w:rsid w:val="00AF5129"/>
    <w:rsid w:val="00AF6F72"/>
    <w:rsid w:val="00B00F1D"/>
    <w:rsid w:val="00B03175"/>
    <w:rsid w:val="00B038CB"/>
    <w:rsid w:val="00B03C1C"/>
    <w:rsid w:val="00B043A9"/>
    <w:rsid w:val="00B11FA5"/>
    <w:rsid w:val="00B12CF6"/>
    <w:rsid w:val="00B141B4"/>
    <w:rsid w:val="00B23431"/>
    <w:rsid w:val="00B238E9"/>
    <w:rsid w:val="00B24BE4"/>
    <w:rsid w:val="00B57AF5"/>
    <w:rsid w:val="00B6493D"/>
    <w:rsid w:val="00B6566D"/>
    <w:rsid w:val="00B724EF"/>
    <w:rsid w:val="00B7312A"/>
    <w:rsid w:val="00B7521C"/>
    <w:rsid w:val="00B769B5"/>
    <w:rsid w:val="00B9157E"/>
    <w:rsid w:val="00B928CD"/>
    <w:rsid w:val="00BB051E"/>
    <w:rsid w:val="00BB5ECE"/>
    <w:rsid w:val="00BC3DD4"/>
    <w:rsid w:val="00BC7B83"/>
    <w:rsid w:val="00BD3CF5"/>
    <w:rsid w:val="00BD529D"/>
    <w:rsid w:val="00BD5FCA"/>
    <w:rsid w:val="00BE067C"/>
    <w:rsid w:val="00BE09C3"/>
    <w:rsid w:val="00BE0FC2"/>
    <w:rsid w:val="00BE638B"/>
    <w:rsid w:val="00BF0054"/>
    <w:rsid w:val="00BF1155"/>
    <w:rsid w:val="00BF7ED1"/>
    <w:rsid w:val="00C03F2A"/>
    <w:rsid w:val="00C05CAE"/>
    <w:rsid w:val="00C07AFD"/>
    <w:rsid w:val="00C137F9"/>
    <w:rsid w:val="00C25AF5"/>
    <w:rsid w:val="00C3110B"/>
    <w:rsid w:val="00C312CA"/>
    <w:rsid w:val="00C314BC"/>
    <w:rsid w:val="00C372F4"/>
    <w:rsid w:val="00C37939"/>
    <w:rsid w:val="00C41F22"/>
    <w:rsid w:val="00C43722"/>
    <w:rsid w:val="00C4499E"/>
    <w:rsid w:val="00C52C63"/>
    <w:rsid w:val="00C5726C"/>
    <w:rsid w:val="00C63317"/>
    <w:rsid w:val="00C7604C"/>
    <w:rsid w:val="00C76E27"/>
    <w:rsid w:val="00C80837"/>
    <w:rsid w:val="00C83366"/>
    <w:rsid w:val="00C8650E"/>
    <w:rsid w:val="00C90582"/>
    <w:rsid w:val="00C92B0E"/>
    <w:rsid w:val="00C93473"/>
    <w:rsid w:val="00CB010A"/>
    <w:rsid w:val="00CB399C"/>
    <w:rsid w:val="00CD03FB"/>
    <w:rsid w:val="00CD5CD6"/>
    <w:rsid w:val="00CD5E4D"/>
    <w:rsid w:val="00CD7DE5"/>
    <w:rsid w:val="00CE2299"/>
    <w:rsid w:val="00CE6875"/>
    <w:rsid w:val="00CF2D2C"/>
    <w:rsid w:val="00CF6FB3"/>
    <w:rsid w:val="00D02DA9"/>
    <w:rsid w:val="00D06DB7"/>
    <w:rsid w:val="00D0786E"/>
    <w:rsid w:val="00D11BE6"/>
    <w:rsid w:val="00D134A2"/>
    <w:rsid w:val="00D17F63"/>
    <w:rsid w:val="00D21B96"/>
    <w:rsid w:val="00D22F46"/>
    <w:rsid w:val="00D336D1"/>
    <w:rsid w:val="00D353C2"/>
    <w:rsid w:val="00D37632"/>
    <w:rsid w:val="00D37A27"/>
    <w:rsid w:val="00D42B94"/>
    <w:rsid w:val="00D47AB2"/>
    <w:rsid w:val="00D47F13"/>
    <w:rsid w:val="00D5165C"/>
    <w:rsid w:val="00D5716A"/>
    <w:rsid w:val="00D62567"/>
    <w:rsid w:val="00D64309"/>
    <w:rsid w:val="00D77508"/>
    <w:rsid w:val="00D801D0"/>
    <w:rsid w:val="00D83E0B"/>
    <w:rsid w:val="00D91A77"/>
    <w:rsid w:val="00D91BFD"/>
    <w:rsid w:val="00D959B1"/>
    <w:rsid w:val="00DA0339"/>
    <w:rsid w:val="00DB6158"/>
    <w:rsid w:val="00DC0D5D"/>
    <w:rsid w:val="00DC340D"/>
    <w:rsid w:val="00DC474D"/>
    <w:rsid w:val="00DD022C"/>
    <w:rsid w:val="00DE0183"/>
    <w:rsid w:val="00DE7BC4"/>
    <w:rsid w:val="00DF2D28"/>
    <w:rsid w:val="00DF455F"/>
    <w:rsid w:val="00DF5BE3"/>
    <w:rsid w:val="00DF69CE"/>
    <w:rsid w:val="00E0014E"/>
    <w:rsid w:val="00E00ACD"/>
    <w:rsid w:val="00E03310"/>
    <w:rsid w:val="00E0495B"/>
    <w:rsid w:val="00E12279"/>
    <w:rsid w:val="00E22BFC"/>
    <w:rsid w:val="00E2393A"/>
    <w:rsid w:val="00E23F66"/>
    <w:rsid w:val="00E26E10"/>
    <w:rsid w:val="00E2777E"/>
    <w:rsid w:val="00E3126B"/>
    <w:rsid w:val="00E3668C"/>
    <w:rsid w:val="00E40623"/>
    <w:rsid w:val="00E41882"/>
    <w:rsid w:val="00E43A1D"/>
    <w:rsid w:val="00E56ADE"/>
    <w:rsid w:val="00E60AA9"/>
    <w:rsid w:val="00E60EE2"/>
    <w:rsid w:val="00E751F5"/>
    <w:rsid w:val="00E755C4"/>
    <w:rsid w:val="00E83AF4"/>
    <w:rsid w:val="00E84240"/>
    <w:rsid w:val="00E85216"/>
    <w:rsid w:val="00E90203"/>
    <w:rsid w:val="00E920C2"/>
    <w:rsid w:val="00E93B41"/>
    <w:rsid w:val="00E95BE4"/>
    <w:rsid w:val="00EA0CBC"/>
    <w:rsid w:val="00EA71E9"/>
    <w:rsid w:val="00EB1AF2"/>
    <w:rsid w:val="00EB227C"/>
    <w:rsid w:val="00EB391C"/>
    <w:rsid w:val="00EB5228"/>
    <w:rsid w:val="00EC4699"/>
    <w:rsid w:val="00EC7E4A"/>
    <w:rsid w:val="00ED30F2"/>
    <w:rsid w:val="00ED3F6C"/>
    <w:rsid w:val="00EE1C5E"/>
    <w:rsid w:val="00EE4879"/>
    <w:rsid w:val="00EF6C03"/>
    <w:rsid w:val="00F028CF"/>
    <w:rsid w:val="00F10FA9"/>
    <w:rsid w:val="00F12865"/>
    <w:rsid w:val="00F133CD"/>
    <w:rsid w:val="00F233A6"/>
    <w:rsid w:val="00F24EF9"/>
    <w:rsid w:val="00F27BDB"/>
    <w:rsid w:val="00F33526"/>
    <w:rsid w:val="00F35A53"/>
    <w:rsid w:val="00F41590"/>
    <w:rsid w:val="00F43A76"/>
    <w:rsid w:val="00F454F0"/>
    <w:rsid w:val="00F45844"/>
    <w:rsid w:val="00F52CFA"/>
    <w:rsid w:val="00F54813"/>
    <w:rsid w:val="00F618B3"/>
    <w:rsid w:val="00F67C83"/>
    <w:rsid w:val="00F81F8D"/>
    <w:rsid w:val="00F820A5"/>
    <w:rsid w:val="00F833C3"/>
    <w:rsid w:val="00F83E86"/>
    <w:rsid w:val="00F85F16"/>
    <w:rsid w:val="00F90C2E"/>
    <w:rsid w:val="00F94C99"/>
    <w:rsid w:val="00FA2297"/>
    <w:rsid w:val="00FA344B"/>
    <w:rsid w:val="00FA45EF"/>
    <w:rsid w:val="00FB0BF7"/>
    <w:rsid w:val="00FB45AB"/>
    <w:rsid w:val="00FC156A"/>
    <w:rsid w:val="00FC2133"/>
    <w:rsid w:val="00FC23C3"/>
    <w:rsid w:val="00FC2C05"/>
    <w:rsid w:val="00FC64D9"/>
    <w:rsid w:val="00FD02A2"/>
    <w:rsid w:val="00FD2720"/>
    <w:rsid w:val="00FD2D85"/>
    <w:rsid w:val="00FD3528"/>
    <w:rsid w:val="00FE192B"/>
    <w:rsid w:val="00FF1AC7"/>
    <w:rsid w:val="00FF282E"/>
    <w:rsid w:val="00FF3140"/>
    <w:rsid w:val="00FF31A1"/>
    <w:rsid w:val="00FF380B"/>
    <w:rsid w:val="00FF3B6A"/>
    <w:rsid w:val="00FF6BD3"/>
    <w:rsid w:val="00FF74B6"/>
    <w:rsid w:val="07C0310C"/>
    <w:rsid w:val="0B6B09B4"/>
    <w:rsid w:val="0BB77ED4"/>
    <w:rsid w:val="18323AE1"/>
    <w:rsid w:val="2620319C"/>
    <w:rsid w:val="26954408"/>
    <w:rsid w:val="26E2748C"/>
    <w:rsid w:val="355C4B8A"/>
    <w:rsid w:val="4DEE5A16"/>
    <w:rsid w:val="5BFF7230"/>
    <w:rsid w:val="5EAC56AE"/>
    <w:rsid w:val="73983BE0"/>
    <w:rsid w:val="7A53723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12">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2">
    <w:name w:val="caption"/>
    <w:basedOn w:val="1"/>
    <w:next w:val="1"/>
    <w:unhideWhenUsed/>
    <w:qFormat/>
    <w:uiPriority w:val="0"/>
    <w:rPr>
      <w:rFonts w:ascii="Arial" w:hAnsi="Arial" w:eastAsia="黑体"/>
      <w:sz w:val="20"/>
    </w:rPr>
  </w:style>
  <w:style w:type="paragraph" w:styleId="3">
    <w:name w:val="Body Text"/>
    <w:basedOn w:val="1"/>
    <w:uiPriority w:val="0"/>
    <w:pPr>
      <w:spacing w:after="120"/>
    </w:pPr>
  </w:style>
  <w:style w:type="paragraph" w:styleId="4">
    <w:name w:val="Body Text Indent"/>
    <w:basedOn w:val="1"/>
    <w:link w:val="17"/>
    <w:uiPriority w:val="0"/>
    <w:pPr>
      <w:ind w:firstLine="538" w:firstLineChars="192"/>
    </w:pPr>
    <w:rPr>
      <w:rFonts w:ascii="宋体" w:hAnsi="宋体"/>
      <w:sz w:val="28"/>
    </w:rPr>
  </w:style>
  <w:style w:type="paragraph" w:styleId="5">
    <w:name w:val="Plain Text"/>
    <w:basedOn w:val="1"/>
    <w:uiPriority w:val="0"/>
    <w:rPr>
      <w:rFonts w:ascii="宋体" w:hAnsi="Courier New" w:cs="Courier New"/>
      <w:szCs w:val="21"/>
    </w:rPr>
  </w:style>
  <w:style w:type="paragraph" w:styleId="6">
    <w:name w:val="Date"/>
    <w:basedOn w:val="1"/>
    <w:next w:val="1"/>
    <w:uiPriority w:val="0"/>
    <w:pPr>
      <w:ind w:left="100" w:leftChars="2500"/>
    </w:p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iPriority w:val="0"/>
    <w:pPr>
      <w:widowControl/>
      <w:spacing w:before="100" w:beforeAutospacing="1" w:after="100" w:afterAutospacing="1" w:line="312" w:lineRule="auto"/>
      <w:jc w:val="left"/>
    </w:pPr>
    <w:rPr>
      <w:rFonts w:ascii="宋体" w:hAnsi="宋体" w:cs="宋体"/>
      <w:kern w:val="0"/>
      <w:sz w:val="24"/>
    </w:rPr>
  </w:style>
  <w:style w:type="table" w:styleId="11">
    <w:name w:val="Table Grid"/>
    <w:basedOn w:val="10"/>
    <w:uiPriority w:val="0"/>
    <w:pPr>
      <w:widowControl w:val="0"/>
      <w:jc w:val="both"/>
    </w:p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uiPriority w:val="0"/>
  </w:style>
  <w:style w:type="character" w:styleId="14">
    <w:name w:val="FollowedHyperlink"/>
    <w:uiPriority w:val="99"/>
    <w:rPr>
      <w:color w:val="800080"/>
      <w:u w:val="single"/>
    </w:rPr>
  </w:style>
  <w:style w:type="character" w:styleId="15">
    <w:name w:val="HTML Acronym"/>
    <w:basedOn w:val="12"/>
    <w:uiPriority w:val="0"/>
  </w:style>
  <w:style w:type="character" w:styleId="16">
    <w:name w:val="Hyperlink"/>
    <w:uiPriority w:val="99"/>
    <w:rPr>
      <w:color w:val="0000FF"/>
      <w:u w:val="single"/>
    </w:rPr>
  </w:style>
  <w:style w:type="character" w:customStyle="1" w:styleId="17">
    <w:name w:val="正文文本缩进 Char"/>
    <w:aliases w:val="正文文字缩进 Char"/>
    <w:link w:val="4"/>
    <w:uiPriority w:val="0"/>
    <w:rPr>
      <w:rFonts w:ascii="宋体" w:hAnsi="宋体"/>
      <w:kern w:val="2"/>
      <w:sz w:val="28"/>
      <w:szCs w:val="24"/>
    </w:rPr>
  </w:style>
  <w:style w:type="paragraph" w:customStyle="1" w:styleId="18">
    <w:name w:val="1"/>
    <w:basedOn w:val="1"/>
    <w:next w:val="5"/>
    <w:uiPriority w:val="0"/>
    <w:rPr>
      <w:rFonts w:ascii="宋体" w:hAnsi="Courier New"/>
      <w:szCs w:val="20"/>
    </w:rPr>
  </w:style>
  <w:style w:type="paragraph" w:customStyle="1" w:styleId="19">
    <w:name w:val="xl24"/>
    <w:basedOn w:val="1"/>
    <w:uiPriority w:val="0"/>
    <w:pPr>
      <w:widowControl/>
      <w:pBdr>
        <w:top w:val="single" w:color="000000" w:sz="4" w:space="0"/>
        <w:left w:val="single" w:color="000000" w:sz="4" w:space="0"/>
      </w:pBdr>
      <w:spacing w:before="100" w:beforeAutospacing="1" w:after="100" w:afterAutospacing="1"/>
      <w:jc w:val="left"/>
    </w:pPr>
    <w:rPr>
      <w:rFonts w:ascii="宋体" w:hAnsi="宋体" w:cs="宋体"/>
      <w:kern w:val="0"/>
      <w:sz w:val="24"/>
    </w:rPr>
  </w:style>
  <w:style w:type="paragraph" w:customStyle="1" w:styleId="20">
    <w:name w:val="xl25"/>
    <w:basedOn w:val="1"/>
    <w:uiPriority w:val="0"/>
    <w:pPr>
      <w:widowControl/>
      <w:pBdr>
        <w:top w:val="single" w:color="000000" w:sz="4" w:space="0"/>
      </w:pBdr>
      <w:spacing w:before="100" w:beforeAutospacing="1" w:after="100" w:afterAutospacing="1"/>
      <w:jc w:val="left"/>
    </w:pPr>
    <w:rPr>
      <w:rFonts w:ascii="宋体" w:hAnsi="宋体" w:cs="宋体"/>
      <w:kern w:val="0"/>
      <w:sz w:val="24"/>
    </w:rPr>
  </w:style>
  <w:style w:type="paragraph" w:customStyle="1" w:styleId="21">
    <w:name w:val="xl26"/>
    <w:basedOn w:val="1"/>
    <w:uiPriority w:val="0"/>
    <w:pPr>
      <w:widowControl/>
      <w:pBdr>
        <w:top w:val="single" w:color="000000" w:sz="4" w:space="0"/>
        <w:right w:val="single" w:color="000000" w:sz="4" w:space="0"/>
      </w:pBdr>
      <w:spacing w:before="100" w:beforeAutospacing="1" w:after="100" w:afterAutospacing="1"/>
      <w:jc w:val="left"/>
    </w:pPr>
    <w:rPr>
      <w:rFonts w:ascii="宋体" w:hAnsi="宋体" w:cs="宋体"/>
      <w:kern w:val="0"/>
      <w:sz w:val="24"/>
    </w:rPr>
  </w:style>
  <w:style w:type="paragraph" w:customStyle="1" w:styleId="22">
    <w:name w:val="xl27"/>
    <w:basedOn w:val="1"/>
    <w:uiPriority w:val="0"/>
    <w:pPr>
      <w:widowControl/>
      <w:pBdr>
        <w:left w:val="single" w:color="000000" w:sz="4" w:space="0"/>
      </w:pBdr>
      <w:spacing w:before="100" w:beforeAutospacing="1" w:after="100" w:afterAutospacing="1"/>
      <w:jc w:val="left"/>
    </w:pPr>
    <w:rPr>
      <w:rFonts w:ascii="宋体" w:hAnsi="宋体" w:cs="宋体"/>
      <w:kern w:val="0"/>
      <w:sz w:val="24"/>
    </w:rPr>
  </w:style>
  <w:style w:type="paragraph" w:customStyle="1" w:styleId="23">
    <w:name w:val="xl28"/>
    <w:basedOn w:val="1"/>
    <w:uiPriority w:val="0"/>
    <w:pPr>
      <w:widowControl/>
      <w:pBdr>
        <w:left w:val="single" w:color="000000" w:sz="4" w:space="0"/>
      </w:pBdr>
      <w:spacing w:before="100" w:beforeAutospacing="1" w:after="100" w:afterAutospacing="1"/>
      <w:jc w:val="left"/>
    </w:pPr>
    <w:rPr>
      <w:rFonts w:ascii="宋体" w:hAnsi="宋体" w:cs="宋体"/>
      <w:kern w:val="0"/>
      <w:sz w:val="24"/>
    </w:rPr>
  </w:style>
  <w:style w:type="paragraph" w:customStyle="1" w:styleId="24">
    <w:name w:val="xl29"/>
    <w:basedOn w:val="1"/>
    <w:uiPriority w:val="0"/>
    <w:pPr>
      <w:widowControl/>
      <w:pBdr>
        <w:right w:val="single" w:color="000000" w:sz="4" w:space="0"/>
      </w:pBdr>
      <w:spacing w:before="100" w:beforeAutospacing="1" w:after="100" w:afterAutospacing="1"/>
      <w:jc w:val="left"/>
    </w:pPr>
    <w:rPr>
      <w:rFonts w:ascii="宋体" w:hAnsi="宋体" w:cs="宋体"/>
      <w:kern w:val="0"/>
      <w:sz w:val="24"/>
    </w:rPr>
  </w:style>
  <w:style w:type="paragraph" w:customStyle="1" w:styleId="25">
    <w:name w:val="xl30"/>
    <w:basedOn w:val="1"/>
    <w:uiPriority w:val="0"/>
    <w:pPr>
      <w:widowControl/>
      <w:pBdr>
        <w:top w:val="single" w:color="000000" w:sz="4" w:space="0"/>
        <w:left w:val="single" w:color="000000" w:sz="4" w:space="0"/>
        <w:bottom w:val="single" w:color="000000" w:sz="4" w:space="0"/>
      </w:pBdr>
      <w:spacing w:before="100" w:beforeAutospacing="1" w:after="100" w:afterAutospacing="1"/>
      <w:jc w:val="left"/>
    </w:pPr>
    <w:rPr>
      <w:rFonts w:ascii="宋体" w:hAnsi="宋体" w:cs="宋体"/>
      <w:kern w:val="0"/>
      <w:sz w:val="24"/>
    </w:rPr>
  </w:style>
  <w:style w:type="paragraph" w:customStyle="1" w:styleId="26">
    <w:name w:val="xl31"/>
    <w:basedOn w:val="1"/>
    <w:uiPriority w:val="0"/>
    <w:pPr>
      <w:widowControl/>
      <w:pBdr>
        <w:top w:val="single" w:color="000000" w:sz="4" w:space="0"/>
        <w:bottom w:val="single" w:color="000000" w:sz="4" w:space="0"/>
      </w:pBdr>
      <w:spacing w:before="100" w:beforeAutospacing="1" w:after="100" w:afterAutospacing="1"/>
      <w:jc w:val="left"/>
    </w:pPr>
    <w:rPr>
      <w:rFonts w:ascii="宋体" w:hAnsi="宋体" w:cs="宋体"/>
      <w:kern w:val="0"/>
      <w:sz w:val="24"/>
    </w:rPr>
  </w:style>
  <w:style w:type="paragraph" w:customStyle="1" w:styleId="27">
    <w:name w:val="xl32"/>
    <w:basedOn w:val="1"/>
    <w:uiPriority w:val="0"/>
    <w:pPr>
      <w:widowControl/>
      <w:pBdr>
        <w:top w:val="single" w:color="000000" w:sz="4" w:space="0"/>
        <w:bottom w:val="single" w:color="000000" w:sz="4" w:space="0"/>
        <w:right w:val="single" w:color="000000" w:sz="4" w:space="0"/>
      </w:pBdr>
      <w:spacing w:before="100" w:beforeAutospacing="1" w:after="100" w:afterAutospacing="1"/>
      <w:jc w:val="left"/>
    </w:pPr>
    <w:rPr>
      <w:rFonts w:ascii="宋体" w:hAnsi="宋体" w:cs="宋体"/>
      <w:kern w:val="0"/>
      <w:sz w:val="24"/>
    </w:rPr>
  </w:style>
  <w:style w:type="paragraph" w:customStyle="1" w:styleId="28">
    <w:name w:val="xl33"/>
    <w:basedOn w:val="1"/>
    <w:uiPriority w:val="0"/>
    <w:pPr>
      <w:widowControl/>
      <w:pBdr>
        <w:top w:val="single" w:color="000000" w:sz="4" w:space="0"/>
      </w:pBdr>
      <w:spacing w:before="100" w:beforeAutospacing="1" w:after="100" w:afterAutospacing="1"/>
      <w:jc w:val="left"/>
    </w:pPr>
    <w:rPr>
      <w:rFonts w:ascii="宋体" w:hAnsi="宋体" w:cs="宋体"/>
      <w:kern w:val="0"/>
      <w:sz w:val="24"/>
    </w:rPr>
  </w:style>
  <w:style w:type="paragraph" w:customStyle="1" w:styleId="29">
    <w:name w:val="xl34"/>
    <w:basedOn w:val="1"/>
    <w:uiPriority w:val="0"/>
    <w:pPr>
      <w:widowControl/>
      <w:spacing w:before="100" w:beforeAutospacing="1" w:after="100" w:afterAutospacing="1"/>
      <w:jc w:val="left"/>
    </w:pPr>
    <w:rPr>
      <w:rFonts w:ascii="宋体" w:hAnsi="宋体" w:cs="宋体"/>
      <w:kern w:val="0"/>
      <w:sz w:val="24"/>
    </w:rPr>
  </w:style>
  <w:style w:type="paragraph" w:customStyle="1" w:styleId="30">
    <w:name w:val="xl35"/>
    <w:basedOn w:val="1"/>
    <w:uiPriority w:val="0"/>
    <w:pPr>
      <w:widowControl/>
      <w:pBdr>
        <w:top w:val="single" w:color="000000" w:sz="4" w:space="0"/>
        <w:bottom w:val="single" w:color="000000" w:sz="4" w:space="0"/>
      </w:pBdr>
      <w:spacing w:before="100" w:beforeAutospacing="1" w:after="100" w:afterAutospacing="1"/>
      <w:jc w:val="left"/>
    </w:pPr>
    <w:rPr>
      <w:rFonts w:ascii="宋体" w:hAnsi="宋体" w:cs="宋体"/>
      <w:kern w:val="0"/>
      <w:sz w:val="24"/>
    </w:rPr>
  </w:style>
  <w:style w:type="paragraph" w:customStyle="1" w:styleId="31">
    <w:name w:val="title"/>
    <w:basedOn w:val="1"/>
    <w:uiPriority w:val="0"/>
    <w:pPr>
      <w:widowControl/>
      <w:spacing w:before="100" w:beforeAutospacing="1" w:after="100" w:afterAutospacing="1" w:line="500" w:lineRule="atLeast"/>
      <w:jc w:val="left"/>
    </w:pPr>
    <w:rPr>
      <w:rFonts w:ascii="宋体" w:hAnsi="宋体" w:cs="宋体"/>
      <w:kern w:val="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jsec</Company>
  <Pages>21</Pages>
  <Words>142</Words>
  <Characters>142</Characters>
  <Lines>7</Lines>
  <Paragraphs>2</Paragraphs>
  <TotalTime>0</TotalTime>
  <ScaleCrop>false</ScaleCrop>
  <LinksUpToDate>false</LinksUpToDate>
  <CharactersWithSpaces>149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2012-06-01T07:01:00Z</dcterms:created>
  <dc:creator>admin</dc:creator>
  <cp:lastModifiedBy>Lonely</cp:lastModifiedBy>
  <cp:lastPrinted>2012-05-23T08:11:00Z</cp:lastPrinted>
  <dcterms:modified xsi:type="dcterms:W3CDTF">2026-08-06T12:44:01Z</dcterms:modified>
  <dc:title>三、品牌专业、特色专业建设点的管理</dc:title>
  <cp:revision>102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eyJoZGlkIjoiMTk3OGFmNTU4YzhkZDA2NDFmN2ZjMDA1YzE3NTlhNzIiLCJ1c2VySWQiOiIxNDE3NTM5NTg0In0=</vt:lpwstr>
  </property>
  <property fmtid="{D5CDD505-2E9C-101B-9397-08002B2CF9AE}" pid="3" name="KSOProductBuildVer">
    <vt:lpwstr>2052-12.1.0.16120</vt:lpwstr>
  </property>
  <property fmtid="{D5CDD505-2E9C-101B-9397-08002B2CF9AE}" pid="4" name="ICV">
    <vt:lpwstr>322E9607256C43EE9A12FE6E8BDD316E_13</vt:lpwstr>
  </property>
</Properties>
</file>