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9E5C0C">
      <w:pPr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NOC 工作台（邮件割接智能处理系统）</w:t>
      </w:r>
      <w:r>
        <w:rPr>
          <w:rFonts w:ascii="微软雅黑" w:hAnsi="微软雅黑" w:eastAsia="微软雅黑"/>
          <w:b/>
          <w:color w:val="1F4E79"/>
          <w:sz w:val="40"/>
        </w:rPr>
        <w:br w:type="textWrapping"/>
      </w:r>
      <w:r>
        <w:rPr>
          <w:rFonts w:ascii="微软雅黑" w:hAnsi="微软雅黑" w:eastAsia="微软雅黑"/>
          <w:b/>
          <w:color w:val="1F4E79"/>
          <w:sz w:val="40"/>
        </w:rPr>
        <w:t>网络需求说明书</w:t>
      </w:r>
    </w:p>
    <w:p w14:paraId="026913DA">
      <w:pPr>
        <w:jc w:val="center"/>
      </w:pPr>
      <w:r>
        <w:rPr>
          <w:rFonts w:ascii="宋体" w:hAnsi="宋体" w:eastAsia="宋体"/>
          <w:b w:val="0"/>
          <w:color w:val="666666"/>
          <w:sz w:val="21"/>
        </w:rPr>
        <w:t>版本：V1.0        编制日期：2026-08-25</w:t>
      </w:r>
    </w:p>
    <w:p w14:paraId="2C29A65D">
      <w:pPr>
        <w:pStyle w:val="3"/>
      </w:pPr>
      <w:r>
        <w:rPr>
          <w:rFonts w:ascii="微软雅黑" w:hAnsi="微软雅黑" w:eastAsia="微软雅黑"/>
          <w:b/>
          <w:color w:val="1F4E79"/>
          <w:sz w:val="32"/>
        </w:rPr>
        <w:t>1. 文档说明</w:t>
      </w:r>
    </w:p>
    <w:p w14:paraId="13A845D3"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NOC 工作台是邮件割接通知智能处理系统，部署于应用服务器（Docker 容器）之上，主要功能包括：监听供应商邮箱接收割接/故障通知邮件、调用 AI 服务进行智能解析与字段提取、生成割接任务并自动填报、通过 RPA 自动登录集团综合调度系统完成业务操作。</w:t>
      </w:r>
    </w:p>
    <w:p w14:paraId="374DFD94"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本文档整理了系统运行所需的全部网络访问需求，供贵方网络管理部门开通防火墙策略使用。其中第 7 节列出了需要贵方协助确认的事项。</w:t>
      </w:r>
    </w:p>
    <w:p w14:paraId="08C6BB70">
      <w:pPr>
        <w:pStyle w:val="3"/>
      </w:pPr>
      <w:r>
        <w:rPr>
          <w:rFonts w:ascii="微软雅黑" w:hAnsi="微软雅黑" w:eastAsia="微软雅黑"/>
          <w:b/>
          <w:color w:val="1F4E79"/>
          <w:sz w:val="32"/>
        </w:rPr>
        <w:t>2. 网络需求汇总</w:t>
      </w:r>
    </w:p>
    <w:p w14:paraId="66AC6EB5"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全部网络需求汇总如下，详细说明见后续章节：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850"/>
        <w:gridCol w:w="2381"/>
        <w:gridCol w:w="1020"/>
        <w:gridCol w:w="1814"/>
        <w:gridCol w:w="2608"/>
      </w:tblGrid>
      <w:tr w14:paraId="7F45A4A7">
        <w:trPr>
          <w:jc w:val="center"/>
        </w:trPr>
        <w:tc>
          <w:tcPr>
            <w:tcW w:w="680" w:type="dxa"/>
            <w:shd w:val="clear" w:color="auto" w:fill="1F4E79"/>
          </w:tcPr>
          <w:p w14:paraId="3772E7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w="850" w:type="dxa"/>
            <w:shd w:val="clear" w:color="auto" w:fill="1F4E79"/>
          </w:tcPr>
          <w:p w14:paraId="0C6068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方向</w:t>
            </w:r>
          </w:p>
        </w:tc>
        <w:tc>
          <w:tcPr>
            <w:tcW w:w="2381" w:type="dxa"/>
            <w:shd w:val="clear" w:color="auto" w:fill="1F4E79"/>
          </w:tcPr>
          <w:p w14:paraId="0038831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目标地址</w:t>
            </w:r>
          </w:p>
        </w:tc>
        <w:tc>
          <w:tcPr>
            <w:tcW w:w="1020" w:type="dxa"/>
            <w:shd w:val="clear" w:color="auto" w:fill="1F4E79"/>
          </w:tcPr>
          <w:p w14:paraId="7A8CE08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端口</w:t>
            </w:r>
          </w:p>
        </w:tc>
        <w:tc>
          <w:tcPr>
            <w:tcW w:w="1814" w:type="dxa"/>
            <w:shd w:val="clear" w:color="auto" w:fill="1F4E79"/>
          </w:tcPr>
          <w:p w14:paraId="31E108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协议</w:t>
            </w:r>
          </w:p>
        </w:tc>
        <w:tc>
          <w:tcPr>
            <w:tcW w:w="2608" w:type="dxa"/>
            <w:shd w:val="clear" w:color="auto" w:fill="1F4E79"/>
          </w:tcPr>
          <w:p w14:paraId="083DF5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用途</w:t>
            </w:r>
          </w:p>
        </w:tc>
      </w:tr>
      <w:tr w14:paraId="726B7171">
        <w:trPr>
          <w:jc w:val="center"/>
        </w:trPr>
        <w:tc>
          <w:tcPr>
            <w:tcW w:w="680" w:type="dxa"/>
          </w:tcPr>
          <w:p w14:paraId="407390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850" w:type="dxa"/>
          </w:tcPr>
          <w:p w14:paraId="38347E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出站</w:t>
            </w:r>
          </w:p>
        </w:tc>
        <w:tc>
          <w:tcPr>
            <w:tcW w:w="2381" w:type="dxa"/>
          </w:tcPr>
          <w:p w14:paraId="7175A0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imap-ent.21cn.com</w:t>
            </w:r>
          </w:p>
        </w:tc>
        <w:tc>
          <w:tcPr>
            <w:tcW w:w="1020" w:type="dxa"/>
          </w:tcPr>
          <w:p w14:paraId="6CDDEE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993</w:t>
            </w:r>
          </w:p>
        </w:tc>
        <w:tc>
          <w:tcPr>
            <w:tcW w:w="1814" w:type="dxa"/>
          </w:tcPr>
          <w:p w14:paraId="10F5DD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TCP（隐式TLS）</w:t>
            </w:r>
          </w:p>
        </w:tc>
        <w:tc>
          <w:tcPr>
            <w:tcW w:w="2608" w:type="dxa"/>
          </w:tcPr>
          <w:p w14:paraId="30F50E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邮箱收信监听</w:t>
            </w:r>
          </w:p>
        </w:tc>
      </w:tr>
      <w:tr w14:paraId="20CCA74A">
        <w:trPr>
          <w:jc w:val="center"/>
        </w:trPr>
        <w:tc>
          <w:tcPr>
            <w:tcW w:w="680" w:type="dxa"/>
          </w:tcPr>
          <w:p w14:paraId="594313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850" w:type="dxa"/>
          </w:tcPr>
          <w:p w14:paraId="6E68B7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出站</w:t>
            </w:r>
          </w:p>
        </w:tc>
        <w:tc>
          <w:tcPr>
            <w:tcW w:w="2381" w:type="dxa"/>
          </w:tcPr>
          <w:p w14:paraId="33A89CD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smtp-ent.21cn.com</w:t>
            </w:r>
          </w:p>
        </w:tc>
        <w:tc>
          <w:tcPr>
            <w:tcW w:w="1020" w:type="dxa"/>
          </w:tcPr>
          <w:p w14:paraId="17D43D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465</w:t>
            </w:r>
          </w:p>
        </w:tc>
        <w:tc>
          <w:tcPr>
            <w:tcW w:w="1814" w:type="dxa"/>
          </w:tcPr>
          <w:p w14:paraId="1DF05F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TCP（隐式TLS）</w:t>
            </w:r>
          </w:p>
        </w:tc>
        <w:tc>
          <w:tcPr>
            <w:tcW w:w="2608" w:type="dxa"/>
          </w:tcPr>
          <w:p w14:paraId="5B8ECF9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邮件回复发信</w:t>
            </w:r>
          </w:p>
        </w:tc>
      </w:tr>
      <w:tr w14:paraId="791D4385">
        <w:trPr>
          <w:jc w:val="center"/>
        </w:trPr>
        <w:tc>
          <w:tcPr>
            <w:tcW w:w="680" w:type="dxa"/>
          </w:tcPr>
          <w:p w14:paraId="25AA50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850" w:type="dxa"/>
          </w:tcPr>
          <w:p w14:paraId="73F567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出站</w:t>
            </w:r>
          </w:p>
        </w:tc>
        <w:tc>
          <w:tcPr>
            <w:tcW w:w="2381" w:type="dxa"/>
          </w:tcPr>
          <w:p w14:paraId="325BBC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172.16.129.251</w:t>
            </w:r>
          </w:p>
        </w:tc>
        <w:tc>
          <w:tcPr>
            <w:tcW w:w="1020" w:type="dxa"/>
          </w:tcPr>
          <w:p w14:paraId="319E99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3000</w:t>
            </w:r>
          </w:p>
        </w:tc>
        <w:tc>
          <w:tcPr>
            <w:tcW w:w="1814" w:type="dxa"/>
          </w:tcPr>
          <w:p w14:paraId="0C1124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TCP（HTTP）</w:t>
            </w:r>
          </w:p>
        </w:tc>
        <w:tc>
          <w:tcPr>
            <w:tcW w:w="2608" w:type="dxa"/>
          </w:tcPr>
          <w:p w14:paraId="063D5E5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AI 割接邮件智能提取（Omni）</w:t>
            </w:r>
          </w:p>
        </w:tc>
      </w:tr>
      <w:tr w14:paraId="019F587A">
        <w:trPr>
          <w:jc w:val="center"/>
        </w:trPr>
        <w:tc>
          <w:tcPr>
            <w:tcW w:w="680" w:type="dxa"/>
          </w:tcPr>
          <w:p w14:paraId="58FEB5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850" w:type="dxa"/>
          </w:tcPr>
          <w:p w14:paraId="7AD579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出站</w:t>
            </w:r>
          </w:p>
        </w:tc>
        <w:tc>
          <w:tcPr>
            <w:tcW w:w="2381" w:type="dxa"/>
          </w:tcPr>
          <w:p w14:paraId="232DAC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172.16.129.251</w:t>
            </w:r>
          </w:p>
        </w:tc>
        <w:tc>
          <w:tcPr>
            <w:tcW w:w="1020" w:type="dxa"/>
          </w:tcPr>
          <w:p w14:paraId="529630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4000</w:t>
            </w:r>
          </w:p>
        </w:tc>
        <w:tc>
          <w:tcPr>
            <w:tcW w:w="1814" w:type="dxa"/>
          </w:tcPr>
          <w:p w14:paraId="13D95D0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TCP（HTTP）</w:t>
            </w:r>
          </w:p>
        </w:tc>
        <w:tc>
          <w:tcPr>
            <w:tcW w:w="2608" w:type="dxa"/>
          </w:tcPr>
          <w:p w14:paraId="7FD0BA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多模态验证码识别（模型网关</w:t>
            </w:r>
            <w:r>
              <w:rPr>
                <w:rFonts w:hint="eastAsia" w:ascii="宋体" w:hAnsi="宋体" w:eastAsia="宋体"/>
                <w:b w:val="0"/>
                <w:sz w:val="21"/>
                <w:lang w:val="en-US" w:eastAsia="zh-CN"/>
              </w:rPr>
              <w:t>NewApi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</w:tr>
      <w:tr w14:paraId="7F42019A">
        <w:trPr>
          <w:jc w:val="center"/>
        </w:trPr>
        <w:tc>
          <w:tcPr>
            <w:tcW w:w="680" w:type="dxa"/>
          </w:tcPr>
          <w:p w14:paraId="596443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850" w:type="dxa"/>
          </w:tcPr>
          <w:p w14:paraId="5E2C8B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出站</w:t>
            </w:r>
          </w:p>
        </w:tc>
        <w:tc>
          <w:tcPr>
            <w:tcW w:w="2381" w:type="dxa"/>
          </w:tcPr>
          <w:p w14:paraId="51CC4C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ofm.crm.189.cn</w:t>
            </w:r>
          </w:p>
        </w:tc>
        <w:tc>
          <w:tcPr>
            <w:tcW w:w="1020" w:type="dxa"/>
          </w:tcPr>
          <w:p w14:paraId="734B28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23065</w:t>
            </w:r>
          </w:p>
        </w:tc>
        <w:tc>
          <w:tcPr>
            <w:tcW w:w="1814" w:type="dxa"/>
          </w:tcPr>
          <w:p w14:paraId="3BFEB2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TCP（HTTPS）</w:t>
            </w:r>
          </w:p>
        </w:tc>
        <w:tc>
          <w:tcPr>
            <w:tcW w:w="2608" w:type="dxa"/>
          </w:tcPr>
          <w:p w14:paraId="33798B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综调系统正式门户</w:t>
            </w:r>
          </w:p>
        </w:tc>
      </w:tr>
      <w:tr w14:paraId="3C507F55">
        <w:trPr>
          <w:jc w:val="center"/>
        </w:trPr>
        <w:tc>
          <w:tcPr>
            <w:tcW w:w="680" w:type="dxa"/>
          </w:tcPr>
          <w:p w14:paraId="7F26EF8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w="850" w:type="dxa"/>
          </w:tcPr>
          <w:p w14:paraId="0E9E29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出站</w:t>
            </w:r>
          </w:p>
        </w:tc>
        <w:tc>
          <w:tcPr>
            <w:tcW w:w="2381" w:type="dxa"/>
          </w:tcPr>
          <w:p w14:paraId="12DC017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ofm.crm.189.cn</w:t>
            </w:r>
          </w:p>
        </w:tc>
        <w:tc>
          <w:tcPr>
            <w:tcW w:w="1020" w:type="dxa"/>
          </w:tcPr>
          <w:p w14:paraId="313009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23122</w:t>
            </w:r>
          </w:p>
        </w:tc>
        <w:tc>
          <w:tcPr>
            <w:tcW w:w="1814" w:type="dxa"/>
          </w:tcPr>
          <w:p w14:paraId="3D9017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TCP（HTTPS）</w:t>
            </w:r>
          </w:p>
        </w:tc>
        <w:tc>
          <w:tcPr>
            <w:tcW w:w="2608" w:type="dxa"/>
          </w:tcPr>
          <w:p w14:paraId="3C1CF1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综调系统测试门户（保留）</w:t>
            </w:r>
          </w:p>
        </w:tc>
      </w:tr>
      <w:tr w14:paraId="6FEFE777">
        <w:trPr>
          <w:jc w:val="center"/>
        </w:trPr>
        <w:tc>
          <w:tcPr>
            <w:tcW w:w="680" w:type="dxa"/>
          </w:tcPr>
          <w:p w14:paraId="200D5DF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w="850" w:type="dxa"/>
          </w:tcPr>
          <w:p w14:paraId="171DC4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出站</w:t>
            </w:r>
          </w:p>
        </w:tc>
        <w:tc>
          <w:tcPr>
            <w:tcW w:w="2381" w:type="dxa"/>
          </w:tcPr>
          <w:p w14:paraId="0A466E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待确认</w:t>
            </w:r>
          </w:p>
        </w:tc>
        <w:tc>
          <w:tcPr>
            <w:tcW w:w="1020" w:type="dxa"/>
          </w:tcPr>
          <w:p w14:paraId="742DB6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待确认</w:t>
            </w:r>
          </w:p>
        </w:tc>
        <w:tc>
          <w:tcPr>
            <w:tcW w:w="1814" w:type="dxa"/>
          </w:tcPr>
          <w:p w14:paraId="10D5063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待确认</w:t>
            </w:r>
          </w:p>
        </w:tc>
        <w:tc>
          <w:tcPr>
            <w:tcW w:w="2608" w:type="dxa"/>
          </w:tcPr>
          <w:p w14:paraId="03C778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综调填报页面调用的后端 API（见第 7 节）</w:t>
            </w:r>
          </w:p>
        </w:tc>
      </w:tr>
      <w:tr w14:paraId="7C6C6D68">
        <w:trPr>
          <w:jc w:val="center"/>
        </w:trPr>
        <w:tc>
          <w:tcPr>
            <w:tcW w:w="680" w:type="dxa"/>
          </w:tcPr>
          <w:p w14:paraId="25BEDC4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w="850" w:type="dxa"/>
          </w:tcPr>
          <w:p w14:paraId="46674DF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入站</w:t>
            </w:r>
          </w:p>
        </w:tc>
        <w:tc>
          <w:tcPr>
            <w:tcW w:w="2381" w:type="dxa"/>
          </w:tcPr>
          <w:p w14:paraId="260A8F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应用服务器本机</w:t>
            </w:r>
          </w:p>
        </w:tc>
        <w:tc>
          <w:tcPr>
            <w:tcW w:w="1020" w:type="dxa"/>
          </w:tcPr>
          <w:p w14:paraId="3D2702E4">
            <w:pPr>
              <w:spacing w:after="0" w:line="240" w:lineRule="auto"/>
              <w:rPr>
                <w:rFonts w:hint="eastAsia" w:eastAsia="SimSun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sz w:val="21"/>
                <w:lang w:eastAsia="zh-CN"/>
              </w:rPr>
              <w:t>6000</w:t>
            </w:r>
          </w:p>
        </w:tc>
        <w:tc>
          <w:tcPr>
            <w:tcW w:w="1814" w:type="dxa"/>
          </w:tcPr>
          <w:p w14:paraId="3C56AE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TCP（HTTP）</w:t>
            </w:r>
          </w:p>
        </w:tc>
        <w:tc>
          <w:tcPr>
            <w:tcW w:w="2608" w:type="dxa"/>
          </w:tcPr>
          <w:p w14:paraId="7CD343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系统管理台与 API 服务</w:t>
            </w:r>
          </w:p>
        </w:tc>
      </w:tr>
    </w:tbl>
    <w:p w14:paraId="1E3FB452">
      <w:pPr>
        <w:spacing w:after="4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 xml:space="preserve"> </w:t>
      </w:r>
      <w:r>
        <w:rPr>
          <w:rFonts w:hint="eastAsia" w:eastAsia="SimSun"/>
          <w:lang w:val="en-US" w:eastAsia="zh-CN"/>
        </w:rPr>
        <w:drawing>
          <wp:inline distT="0" distB="0" distL="114300" distR="114300">
            <wp:extent cx="5947410" cy="3780790"/>
            <wp:effectExtent l="0" t="0" r="21590" b="3810"/>
            <wp:docPr id="3" name="图片 3" descr="网络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网络架构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1CC0B05">
      <w:pPr>
        <w:pStyle w:val="3"/>
      </w:pPr>
      <w:r>
        <w:rPr>
          <w:rFonts w:ascii="微软雅黑" w:hAnsi="微软雅黑" w:eastAsia="微软雅黑"/>
          <w:b/>
          <w:color w:val="1F4E79"/>
          <w:sz w:val="32"/>
        </w:rPr>
        <w:t>3. 出站需求详细说明</w:t>
      </w:r>
    </w:p>
    <w:p w14:paraId="2B4D6CE0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3.1 企业邮箱服务器（21CN）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907"/>
        <w:gridCol w:w="2041"/>
        <w:gridCol w:w="1814"/>
        <w:gridCol w:w="1701"/>
      </w:tblGrid>
      <w:tr w14:paraId="5D392CA0">
        <w:trPr>
          <w:jc w:val="center"/>
        </w:trPr>
        <w:tc>
          <w:tcPr>
            <w:tcW w:w="2381" w:type="dxa"/>
            <w:shd w:val="clear" w:color="auto" w:fill="1F4E79"/>
          </w:tcPr>
          <w:p w14:paraId="46D5D48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目标地址</w:t>
            </w:r>
          </w:p>
        </w:tc>
        <w:tc>
          <w:tcPr>
            <w:tcW w:w="907" w:type="dxa"/>
            <w:shd w:val="clear" w:color="auto" w:fill="1F4E79"/>
          </w:tcPr>
          <w:p w14:paraId="1810F2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端口</w:t>
            </w:r>
          </w:p>
        </w:tc>
        <w:tc>
          <w:tcPr>
            <w:tcW w:w="2041" w:type="dxa"/>
            <w:shd w:val="clear" w:color="auto" w:fill="1F4E79"/>
          </w:tcPr>
          <w:p w14:paraId="6B4442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协议</w:t>
            </w:r>
          </w:p>
        </w:tc>
        <w:tc>
          <w:tcPr>
            <w:tcW w:w="1814" w:type="dxa"/>
            <w:shd w:val="clear" w:color="auto" w:fill="1F4E79"/>
          </w:tcPr>
          <w:p w14:paraId="3A81B7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连接特征</w:t>
            </w:r>
          </w:p>
        </w:tc>
        <w:tc>
          <w:tcPr>
            <w:tcW w:w="1701" w:type="dxa"/>
            <w:shd w:val="clear" w:color="auto" w:fill="1F4E79"/>
          </w:tcPr>
          <w:p w14:paraId="724F3C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用途</w:t>
            </w:r>
          </w:p>
        </w:tc>
      </w:tr>
      <w:tr w14:paraId="0C0ADE5C">
        <w:trPr>
          <w:jc w:val="center"/>
        </w:trPr>
        <w:tc>
          <w:tcPr>
            <w:tcW w:w="2381" w:type="dxa"/>
          </w:tcPr>
          <w:p w14:paraId="1C89AF6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imap-ent.21cn.com</w:t>
            </w:r>
          </w:p>
        </w:tc>
        <w:tc>
          <w:tcPr>
            <w:tcW w:w="907" w:type="dxa"/>
          </w:tcPr>
          <w:p w14:paraId="014EC1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993</w:t>
            </w:r>
          </w:p>
        </w:tc>
        <w:tc>
          <w:tcPr>
            <w:tcW w:w="2041" w:type="dxa"/>
          </w:tcPr>
          <w:p w14:paraId="6B9A9D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TCP，隐式 TLS</w:t>
            </w:r>
          </w:p>
        </w:tc>
        <w:tc>
          <w:tcPr>
            <w:tcW w:w="1814" w:type="dxa"/>
          </w:tcPr>
          <w:p w14:paraId="06C015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长连接</w:t>
            </w:r>
          </w:p>
        </w:tc>
        <w:tc>
          <w:tcPr>
            <w:tcW w:w="1701" w:type="dxa"/>
          </w:tcPr>
          <w:p w14:paraId="2B00FE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收信监听</w:t>
            </w:r>
          </w:p>
        </w:tc>
      </w:tr>
      <w:tr w14:paraId="581A77DA">
        <w:trPr>
          <w:jc w:val="center"/>
        </w:trPr>
        <w:tc>
          <w:tcPr>
            <w:tcW w:w="2381" w:type="dxa"/>
          </w:tcPr>
          <w:p w14:paraId="769CBC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smtp-ent.21cn.com</w:t>
            </w:r>
          </w:p>
        </w:tc>
        <w:tc>
          <w:tcPr>
            <w:tcW w:w="907" w:type="dxa"/>
          </w:tcPr>
          <w:p w14:paraId="1B0C06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465</w:t>
            </w:r>
          </w:p>
        </w:tc>
        <w:tc>
          <w:tcPr>
            <w:tcW w:w="2041" w:type="dxa"/>
          </w:tcPr>
          <w:p w14:paraId="564A4B8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TCP，隐式 TLS（SMTPS）</w:t>
            </w:r>
          </w:p>
        </w:tc>
        <w:tc>
          <w:tcPr>
            <w:tcW w:w="1814" w:type="dxa"/>
          </w:tcPr>
          <w:p w14:paraId="6FD141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短连接，按需建立</w:t>
            </w:r>
          </w:p>
        </w:tc>
        <w:tc>
          <w:tcPr>
            <w:tcW w:w="1701" w:type="dxa"/>
          </w:tcPr>
          <w:p w14:paraId="4AB3DF5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邮件回复/发信</w:t>
            </w:r>
          </w:p>
        </w:tc>
      </w:tr>
    </w:tbl>
    <w:p w14:paraId="1B3EBB29">
      <w:pPr>
        <w:spacing w:after="40"/>
      </w:pPr>
    </w:p>
    <w:p w14:paraId="3C031F87">
      <w:pPr>
        <w:pStyle w:val="16"/>
        <w:spacing w:after="60"/>
      </w:pPr>
      <w:r>
        <w:rPr>
          <w:rFonts w:ascii="宋体" w:hAnsi="宋体" w:eastAsia="宋体"/>
          <w:b w:val="0"/>
          <w:sz w:val="21"/>
        </w:rPr>
        <w:t>IMAP 采用 IDLE 实时推送模式，每个监听的邮箱账号维持一条持久 TCP 长连接，约每 5 分钟主动重建一次，请确保防火墙会话空闲超时不小于 10 分钟。</w:t>
      </w:r>
    </w:p>
    <w:p w14:paraId="7BA0DB96">
      <w:pPr>
        <w:pStyle w:val="16"/>
        <w:spacing w:after="60"/>
      </w:pPr>
      <w:r>
        <w:rPr>
          <w:rFonts w:ascii="宋体" w:hAnsi="宋体" w:eastAsia="宋体"/>
          <w:b w:val="0"/>
          <w:sz w:val="21"/>
        </w:rPr>
        <w:t>993/465 均为连接建立即加密（隐式 TLS），请在防火墙上仅做端口放行，不要启用 SSL 解密/中间人检测，否则证书校验失败导致连接不通。</w:t>
      </w:r>
    </w:p>
    <w:p w14:paraId="1D6819DE">
      <w:pPr>
        <w:pStyle w:val="16"/>
        <w:spacing w:after="60"/>
      </w:pPr>
      <w:r>
        <w:rPr>
          <w:rFonts w:ascii="宋体" w:hAnsi="宋体" w:eastAsia="宋体"/>
          <w:b w:val="0"/>
          <w:sz w:val="21"/>
        </w:rPr>
        <w:t>仅需开通 993 与 465 端口，无需 143、587、25 等其他邮件端口。</w:t>
      </w:r>
    </w:p>
    <w:p w14:paraId="3F506C33">
      <w:pPr>
        <w:pStyle w:val="16"/>
        <w:spacing w:after="60"/>
      </w:pPr>
      <w:r>
        <w:rPr>
          <w:rFonts w:ascii="宋体" w:hAnsi="宋体" w:eastAsia="宋体"/>
          <w:b w:val="0"/>
          <w:sz w:val="21"/>
        </w:rPr>
        <w:t>若配置多个监听邮箱账号，每个账号各占一条 993 长连接。</w:t>
      </w:r>
    </w:p>
    <w:p w14:paraId="18148B04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3.2 AI 服务（Omni 与模型网关）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794"/>
        <w:gridCol w:w="1587"/>
        <w:gridCol w:w="2041"/>
        <w:gridCol w:w="3061"/>
      </w:tblGrid>
      <w:tr w14:paraId="1BAFB48D">
        <w:trPr>
          <w:jc w:val="center"/>
        </w:trPr>
        <w:tc>
          <w:tcPr>
            <w:tcW w:w="1928" w:type="dxa"/>
            <w:shd w:val="clear" w:color="auto" w:fill="1F4E79"/>
          </w:tcPr>
          <w:p w14:paraId="220E0D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目标地址</w:t>
            </w:r>
          </w:p>
        </w:tc>
        <w:tc>
          <w:tcPr>
            <w:tcW w:w="794" w:type="dxa"/>
            <w:shd w:val="clear" w:color="auto" w:fill="1F4E79"/>
          </w:tcPr>
          <w:p w14:paraId="1D839C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端口</w:t>
            </w:r>
          </w:p>
        </w:tc>
        <w:tc>
          <w:tcPr>
            <w:tcW w:w="1587" w:type="dxa"/>
            <w:shd w:val="clear" w:color="auto" w:fill="1F4E79"/>
          </w:tcPr>
          <w:p w14:paraId="7E1AF6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协议</w:t>
            </w:r>
          </w:p>
        </w:tc>
        <w:tc>
          <w:tcPr>
            <w:tcW w:w="2041" w:type="dxa"/>
            <w:shd w:val="clear" w:color="auto" w:fill="1F4E79"/>
          </w:tcPr>
          <w:p w14:paraId="6C213C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连接特征</w:t>
            </w:r>
          </w:p>
        </w:tc>
        <w:tc>
          <w:tcPr>
            <w:tcW w:w="3061" w:type="dxa"/>
            <w:shd w:val="clear" w:color="auto" w:fill="1F4E79"/>
          </w:tcPr>
          <w:p w14:paraId="2CC0C79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用途</w:t>
            </w:r>
          </w:p>
        </w:tc>
      </w:tr>
      <w:tr w14:paraId="4BBA3C8C">
        <w:trPr>
          <w:jc w:val="center"/>
        </w:trPr>
        <w:tc>
          <w:tcPr>
            <w:tcW w:w="1928" w:type="dxa"/>
          </w:tcPr>
          <w:p w14:paraId="46DF3D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172.16.129.251</w:t>
            </w:r>
          </w:p>
        </w:tc>
        <w:tc>
          <w:tcPr>
            <w:tcW w:w="794" w:type="dxa"/>
          </w:tcPr>
          <w:p w14:paraId="1F5023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3000</w:t>
            </w:r>
          </w:p>
        </w:tc>
        <w:tc>
          <w:tcPr>
            <w:tcW w:w="1587" w:type="dxa"/>
          </w:tcPr>
          <w:p w14:paraId="3C1CFE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TCP（HTTP）</w:t>
            </w:r>
          </w:p>
        </w:tc>
        <w:tc>
          <w:tcPr>
            <w:tcW w:w="2041" w:type="dxa"/>
          </w:tcPr>
          <w:p w14:paraId="4C3267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单次请求最长 600 秒</w:t>
            </w:r>
          </w:p>
        </w:tc>
        <w:tc>
          <w:tcPr>
            <w:tcW w:w="3061" w:type="dxa"/>
          </w:tcPr>
          <w:p w14:paraId="5E3359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割接邮件智能提取（Omni 服务）</w:t>
            </w:r>
          </w:p>
        </w:tc>
      </w:tr>
      <w:tr w14:paraId="3F268858">
        <w:trPr>
          <w:jc w:val="center"/>
        </w:trPr>
        <w:tc>
          <w:tcPr>
            <w:tcW w:w="1928" w:type="dxa"/>
          </w:tcPr>
          <w:p w14:paraId="1DDA13E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172.16.129.251</w:t>
            </w:r>
          </w:p>
        </w:tc>
        <w:tc>
          <w:tcPr>
            <w:tcW w:w="794" w:type="dxa"/>
          </w:tcPr>
          <w:p w14:paraId="6166142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4000</w:t>
            </w:r>
          </w:p>
        </w:tc>
        <w:tc>
          <w:tcPr>
            <w:tcW w:w="1587" w:type="dxa"/>
          </w:tcPr>
          <w:p w14:paraId="1AA183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TCP（HTTP）</w:t>
            </w:r>
          </w:p>
        </w:tc>
        <w:tc>
          <w:tcPr>
            <w:tcW w:w="2041" w:type="dxa"/>
          </w:tcPr>
          <w:p w14:paraId="3B2E3A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单次请求最长 120 秒</w:t>
            </w:r>
          </w:p>
        </w:tc>
        <w:tc>
          <w:tcPr>
            <w:tcW w:w="3061" w:type="dxa"/>
          </w:tcPr>
          <w:p w14:paraId="4A6C4F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登录验证码识别（多模态模型网关）</w:t>
            </w:r>
          </w:p>
        </w:tc>
      </w:tr>
    </w:tbl>
    <w:p w14:paraId="283EE062">
      <w:pPr>
        <w:spacing w:after="40"/>
      </w:pPr>
    </w:p>
    <w:p w14:paraId="7C6E6E31">
      <w:pPr>
        <w:pStyle w:val="16"/>
        <w:spacing w:after="60"/>
      </w:pPr>
      <w:r>
        <w:rPr>
          <w:rFonts w:ascii="宋体" w:hAnsi="宋体" w:eastAsia="宋体"/>
          <w:b w:val="0"/>
          <w:sz w:val="21"/>
        </w:rPr>
        <w:t>两个服务位于同一主机，防火墙对该主机放行 3000、4000 两个端口即可。</w:t>
      </w:r>
    </w:p>
    <w:p w14:paraId="53ABF343">
      <w:pPr>
        <w:pStyle w:val="16"/>
        <w:spacing w:after="60"/>
      </w:pPr>
      <w:r>
        <w:rPr>
          <w:rFonts w:ascii="宋体" w:hAnsi="宋体" w:eastAsia="宋体"/>
          <w:b w:val="0"/>
          <w:sz w:val="21"/>
        </w:rPr>
        <w:t>AI 提取为耗时操作，请确保中间链路（防火墙/负载均衡）的会话超时不小于 10 分钟。</w:t>
      </w:r>
    </w:p>
    <w:p w14:paraId="5B1EAF18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3.3 集团综合调度系统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1020"/>
        <w:gridCol w:w="1701"/>
        <w:gridCol w:w="3628"/>
      </w:tblGrid>
      <w:tr w14:paraId="0E0E8D78">
        <w:trPr>
          <w:jc w:val="center"/>
        </w:trPr>
        <w:tc>
          <w:tcPr>
            <w:tcW w:w="2494" w:type="dxa"/>
            <w:shd w:val="clear" w:color="auto" w:fill="1F4E79"/>
          </w:tcPr>
          <w:p w14:paraId="1A63C0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目标地址</w:t>
            </w:r>
          </w:p>
        </w:tc>
        <w:tc>
          <w:tcPr>
            <w:tcW w:w="1020" w:type="dxa"/>
            <w:shd w:val="clear" w:color="auto" w:fill="1F4E79"/>
          </w:tcPr>
          <w:p w14:paraId="3A3E86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端口</w:t>
            </w:r>
          </w:p>
        </w:tc>
        <w:tc>
          <w:tcPr>
            <w:tcW w:w="1701" w:type="dxa"/>
            <w:shd w:val="clear" w:color="auto" w:fill="1F4E79"/>
          </w:tcPr>
          <w:p w14:paraId="7227BB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协议</w:t>
            </w:r>
          </w:p>
        </w:tc>
        <w:tc>
          <w:tcPr>
            <w:tcW w:w="3628" w:type="dxa"/>
            <w:shd w:val="clear" w:color="auto" w:fill="1F4E79"/>
          </w:tcPr>
          <w:p w14:paraId="76E101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用途</w:t>
            </w:r>
          </w:p>
        </w:tc>
      </w:tr>
      <w:tr w14:paraId="3DA77241">
        <w:trPr>
          <w:jc w:val="center"/>
        </w:trPr>
        <w:tc>
          <w:tcPr>
            <w:tcW w:w="2494" w:type="dxa"/>
          </w:tcPr>
          <w:p w14:paraId="1B87C6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ofm.crm.189.cn</w:t>
            </w:r>
          </w:p>
        </w:tc>
        <w:tc>
          <w:tcPr>
            <w:tcW w:w="1020" w:type="dxa"/>
          </w:tcPr>
          <w:p w14:paraId="1235069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23065</w:t>
            </w:r>
          </w:p>
        </w:tc>
        <w:tc>
          <w:tcPr>
            <w:tcW w:w="1701" w:type="dxa"/>
          </w:tcPr>
          <w:p w14:paraId="00D401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TCP（HTTPS）</w:t>
            </w:r>
          </w:p>
        </w:tc>
        <w:tc>
          <w:tcPr>
            <w:tcW w:w="3628" w:type="dxa"/>
          </w:tcPr>
          <w:p w14:paraId="09179A1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正式环境门户：自动登录与割接填报</w:t>
            </w:r>
          </w:p>
        </w:tc>
      </w:tr>
      <w:tr w14:paraId="41508446">
        <w:trPr>
          <w:jc w:val="center"/>
        </w:trPr>
        <w:tc>
          <w:tcPr>
            <w:tcW w:w="2494" w:type="dxa"/>
          </w:tcPr>
          <w:p w14:paraId="2C422F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ofm.crm.189.cn</w:t>
            </w:r>
          </w:p>
        </w:tc>
        <w:tc>
          <w:tcPr>
            <w:tcW w:w="1020" w:type="dxa"/>
          </w:tcPr>
          <w:p w14:paraId="2A93CBC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23122</w:t>
            </w:r>
          </w:p>
        </w:tc>
        <w:tc>
          <w:tcPr>
            <w:tcW w:w="1701" w:type="dxa"/>
          </w:tcPr>
          <w:p w14:paraId="0663DE1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TCP（HTTPS）</w:t>
            </w:r>
          </w:p>
        </w:tc>
        <w:tc>
          <w:tcPr>
            <w:tcW w:w="3628" w:type="dxa"/>
          </w:tcPr>
          <w:p w14:paraId="42033A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测试环境门户（保留）</w:t>
            </w:r>
          </w:p>
        </w:tc>
      </w:tr>
    </w:tbl>
    <w:p w14:paraId="299B3764">
      <w:pPr>
        <w:spacing w:after="40"/>
      </w:pPr>
    </w:p>
    <w:p w14:paraId="488154D6">
      <w:pPr>
        <w:pStyle w:val="16"/>
        <w:spacing w:after="60"/>
      </w:pPr>
      <w:r>
        <w:rPr>
          <w:rFonts w:ascii="宋体" w:hAnsi="宋体" w:eastAsia="宋体"/>
          <w:b w:val="0"/>
          <w:sz w:val="21"/>
        </w:rPr>
        <w:t>系统通过无界面浏览器（Chromium）访问门户页面并执行登录、填报操作，需能完整加载页面资源（JS、CSS、验证码图片等）。</w:t>
      </w:r>
    </w:p>
    <w:p w14:paraId="407AEDD5">
      <w:pPr>
        <w:pStyle w:val="16"/>
        <w:spacing w:after="60"/>
      </w:pPr>
      <w:r>
        <w:rPr>
          <w:rFonts w:ascii="宋体" w:hAnsi="宋体" w:eastAsia="宋体"/>
          <w:b w:val="0"/>
          <w:sz w:val="21"/>
        </w:rPr>
        <w:t>请勿对该站点流量做内容改写或注入，以免触发页面安全拦截。</w:t>
      </w:r>
    </w:p>
    <w:p w14:paraId="2D8D73A4">
      <w:pPr>
        <w:pStyle w:val="16"/>
        <w:spacing w:after="60"/>
      </w:pPr>
      <w:r>
        <w:rPr>
          <w:rFonts w:ascii="宋体" w:hAnsi="宋体" w:eastAsia="宋体"/>
          <w:b w:val="0"/>
          <w:sz w:val="21"/>
        </w:rPr>
        <w:t>填报页面调用的后端 API 地址待确认，详见第 7 节。</w:t>
      </w:r>
    </w:p>
    <w:p w14:paraId="1E196933">
      <w:pPr>
        <w:pStyle w:val="3"/>
      </w:pPr>
      <w:r>
        <w:rPr>
          <w:rFonts w:ascii="微软雅黑" w:hAnsi="微软雅黑" w:eastAsia="微软雅黑"/>
          <w:b/>
          <w:color w:val="1F4E79"/>
          <w:sz w:val="32"/>
        </w:rPr>
        <w:t>4. 入站需求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907"/>
        <w:gridCol w:w="1587"/>
        <w:gridCol w:w="3175"/>
        <w:gridCol w:w="1701"/>
      </w:tblGrid>
      <w:tr w14:paraId="04B09413">
        <w:trPr>
          <w:jc w:val="center"/>
        </w:trPr>
        <w:tc>
          <w:tcPr>
            <w:tcW w:w="2041" w:type="dxa"/>
            <w:shd w:val="clear" w:color="auto" w:fill="1F4E79"/>
          </w:tcPr>
          <w:p w14:paraId="4B32DF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监听地址</w:t>
            </w:r>
          </w:p>
        </w:tc>
        <w:tc>
          <w:tcPr>
            <w:tcW w:w="907" w:type="dxa"/>
            <w:shd w:val="clear" w:color="auto" w:fill="1F4E79"/>
          </w:tcPr>
          <w:p w14:paraId="271BE9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端口</w:t>
            </w:r>
          </w:p>
        </w:tc>
        <w:tc>
          <w:tcPr>
            <w:tcW w:w="1587" w:type="dxa"/>
            <w:shd w:val="clear" w:color="auto" w:fill="1F4E79"/>
          </w:tcPr>
          <w:p w14:paraId="34AA16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协议</w:t>
            </w:r>
          </w:p>
        </w:tc>
        <w:tc>
          <w:tcPr>
            <w:tcW w:w="3175" w:type="dxa"/>
            <w:shd w:val="clear" w:color="auto" w:fill="1F4E79"/>
          </w:tcPr>
          <w:p w14:paraId="420471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用途</w:t>
            </w:r>
          </w:p>
        </w:tc>
        <w:tc>
          <w:tcPr>
            <w:tcW w:w="1701" w:type="dxa"/>
            <w:shd w:val="clear" w:color="auto" w:fill="1F4E79"/>
          </w:tcPr>
          <w:p w14:paraId="65C954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访问方</w:t>
            </w:r>
          </w:p>
        </w:tc>
      </w:tr>
      <w:tr w14:paraId="218308CD">
        <w:trPr>
          <w:jc w:val="center"/>
        </w:trPr>
        <w:tc>
          <w:tcPr>
            <w:tcW w:w="2041" w:type="dxa"/>
          </w:tcPr>
          <w:p w14:paraId="43DCF0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应用服务器 0.0.0.0</w:t>
            </w:r>
          </w:p>
        </w:tc>
        <w:tc>
          <w:tcPr>
            <w:tcW w:w="907" w:type="dxa"/>
          </w:tcPr>
          <w:p w14:paraId="06843567">
            <w:pPr>
              <w:spacing w:after="0" w:line="240" w:lineRule="auto"/>
              <w:rPr>
                <w:rFonts w:hint="eastAsia" w:eastAsia="SimSun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sz w:val="21"/>
                <w:lang w:eastAsia="zh-CN"/>
              </w:rPr>
              <w:t>6000</w:t>
            </w:r>
          </w:p>
        </w:tc>
        <w:tc>
          <w:tcPr>
            <w:tcW w:w="1587" w:type="dxa"/>
          </w:tcPr>
          <w:p w14:paraId="3C53F0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TCP（HTTP）</w:t>
            </w:r>
          </w:p>
        </w:tc>
        <w:tc>
          <w:tcPr>
            <w:tcW w:w="3175" w:type="dxa"/>
          </w:tcPr>
          <w:p w14:paraId="118DA8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系统管理台、REST API、健康检查（/health）</w:t>
            </w:r>
          </w:p>
        </w:tc>
        <w:tc>
          <w:tcPr>
            <w:tcW w:w="1701" w:type="dxa"/>
          </w:tcPr>
          <w:p w14:paraId="029204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运维/值班人员浏览器</w:t>
            </w:r>
          </w:p>
        </w:tc>
      </w:tr>
    </w:tbl>
    <w:p w14:paraId="329992F0">
      <w:pPr>
        <w:spacing w:after="40"/>
      </w:pPr>
    </w:p>
    <w:p w14:paraId="343C6846">
      <w:pPr>
        <w:pStyle w:val="16"/>
        <w:spacing w:after="60"/>
      </w:pPr>
      <w:r>
        <w:rPr>
          <w:rFonts w:ascii="宋体" w:hAnsi="宋体" w:eastAsia="宋体"/>
          <w:b w:val="0"/>
          <w:sz w:val="21"/>
        </w:rPr>
        <w:t>接口采用 API Key 认证（HTTP 头 Authorization: Bearer）。</w:t>
      </w:r>
    </w:p>
    <w:p w14:paraId="3CBCC9D1">
      <w:pPr>
        <w:pStyle w:val="16"/>
        <w:spacing w:after="60"/>
      </w:pPr>
      <w:r>
        <w:rPr>
          <w:rFonts w:ascii="宋体" w:hAnsi="宋体" w:eastAsia="宋体"/>
          <w:b w:val="0"/>
          <w:sz w:val="21"/>
        </w:rPr>
        <w:t>如需从外网访问，建议在系统前部署 Nginx 反向代理并启用 HTTPS。</w:t>
      </w:r>
    </w:p>
    <w:p w14:paraId="30340AB0">
      <w:pPr>
        <w:pStyle w:val="3"/>
      </w:pPr>
      <w:r>
        <w:rPr>
          <w:rFonts w:ascii="微软雅黑" w:hAnsi="微软雅黑" w:eastAsia="微软雅黑"/>
          <w:b/>
          <w:color w:val="1F4E79"/>
          <w:sz w:val="32"/>
        </w:rPr>
        <w:t>5. DNS 要求</w:t>
      </w:r>
    </w:p>
    <w:p w14:paraId="79C3CB10"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应用服务器需能解析以下域名：</w:t>
      </w:r>
    </w:p>
    <w:p w14:paraId="220FD805">
      <w:pPr>
        <w:pStyle w:val="16"/>
        <w:spacing w:after="60"/>
      </w:pPr>
      <w:r>
        <w:rPr>
          <w:rFonts w:ascii="宋体" w:hAnsi="宋体" w:eastAsia="宋体"/>
          <w:b w:val="0"/>
          <w:sz w:val="21"/>
        </w:rPr>
        <w:t>imap-ent.21cn.com</w:t>
      </w:r>
    </w:p>
    <w:p w14:paraId="01D08E50">
      <w:pPr>
        <w:pStyle w:val="16"/>
        <w:spacing w:after="60"/>
      </w:pPr>
      <w:r>
        <w:rPr>
          <w:rFonts w:ascii="宋体" w:hAnsi="宋体" w:eastAsia="宋体"/>
          <w:b w:val="0"/>
          <w:sz w:val="21"/>
        </w:rPr>
        <w:t>smtp-ent.21cn.com</w:t>
      </w:r>
    </w:p>
    <w:p w14:paraId="14F60CA7">
      <w:pPr>
        <w:pStyle w:val="16"/>
        <w:spacing w:after="60"/>
      </w:pPr>
      <w:r>
        <w:rPr>
          <w:rFonts w:ascii="宋体" w:hAnsi="宋体" w:eastAsia="宋体"/>
          <w:b w:val="0"/>
          <w:sz w:val="21"/>
        </w:rPr>
        <w:t>ofm.crm.189.cn</w:t>
      </w:r>
    </w:p>
    <w:p w14:paraId="543B7859">
      <w:pPr>
        <w:pStyle w:val="3"/>
      </w:pPr>
      <w:r>
        <w:rPr>
          <w:rFonts w:ascii="微软雅黑" w:hAnsi="微软雅黑" w:eastAsia="微软雅黑"/>
          <w:b/>
          <w:color w:val="1F4E79"/>
          <w:sz w:val="32"/>
        </w:rPr>
        <w:t>6. 防火墙策略注意事项</w:t>
      </w:r>
    </w:p>
    <w:p w14:paraId="7DE7EC4A">
      <w:pPr>
        <w:pStyle w:val="16"/>
        <w:spacing w:after="60"/>
      </w:pPr>
      <w:r>
        <w:rPr>
          <w:rFonts w:ascii="宋体" w:hAnsi="宋体" w:eastAsia="宋体"/>
          <w:b w:val="0"/>
          <w:sz w:val="21"/>
        </w:rPr>
        <w:t>邮箱 993/465 为隐式 TLS：仅放行端口，不做 SSL 解密/中间人检测。</w:t>
      </w:r>
    </w:p>
    <w:p w14:paraId="3A5B9925">
      <w:pPr>
        <w:pStyle w:val="16"/>
        <w:spacing w:after="60"/>
      </w:pPr>
      <w:r>
        <w:rPr>
          <w:rFonts w:ascii="宋体" w:hAnsi="宋体" w:eastAsia="宋体"/>
          <w:b w:val="0"/>
          <w:sz w:val="21"/>
        </w:rPr>
        <w:t>IMAP 993 为长连接：会话空闲超时建议 ≥ 10 分钟，避免连接被中间设备中断。</w:t>
      </w:r>
    </w:p>
    <w:p w14:paraId="4A80F406">
      <w:pPr>
        <w:pStyle w:val="16"/>
        <w:spacing w:after="60"/>
      </w:pPr>
      <w:r>
        <w:rPr>
          <w:rFonts w:ascii="宋体" w:hAnsi="宋体" w:eastAsia="宋体"/>
          <w:b w:val="0"/>
          <w:sz w:val="21"/>
        </w:rPr>
        <w:t>Omni AI 服务单次请求最长 600 秒：会话超时应覆盖该时长。</w:t>
      </w:r>
    </w:p>
    <w:p w14:paraId="59C2C9FC">
      <w:pPr>
        <w:pStyle w:val="16"/>
        <w:spacing w:after="60"/>
      </w:pPr>
      <w:r>
        <w:rPr>
          <w:rFonts w:ascii="宋体" w:hAnsi="宋体" w:eastAsia="宋体"/>
          <w:b w:val="0"/>
          <w:sz w:val="21"/>
        </w:rPr>
        <w:t>前端页面资源、浏览器内核均已内置于系统，无其他公网下载需求；数据库为服务器本地文件，无数据库网络连接。</w:t>
      </w:r>
    </w:p>
    <w:p w14:paraId="77C9990D">
      <w:pPr>
        <w:pStyle w:val="3"/>
      </w:pPr>
      <w:r>
        <w:rPr>
          <w:rFonts w:ascii="微软雅黑" w:hAnsi="微软雅黑" w:eastAsia="微软雅黑"/>
          <w:b/>
          <w:color w:val="1F4E79"/>
          <w:sz w:val="32"/>
        </w:rPr>
        <w:t>7. 需贵方协助确认的事项</w:t>
      </w:r>
    </w:p>
    <w:p w14:paraId="15203F49"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以下事项依赖贵方环境信息，烦请协助确认或整理后反馈：</w:t>
      </w:r>
    </w:p>
    <w:p w14:paraId="6BF90974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7.1 综调系统填报页面的后端 API 地址</w:t>
      </w:r>
    </w:p>
    <w:p w14:paraId="46C48FA0"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综调门户的页面访问地址（ofm.crm.189.cn:23065）仅为浏览器入口。在割接填报操作过程中，页面还会调用系统后端 API；</w:t>
      </w:r>
      <w:r>
        <w:rPr>
          <w:rFonts w:ascii="宋体" w:hAnsi="宋体" w:eastAsia="宋体"/>
          <w:b w:val="0"/>
          <w:sz w:val="21"/>
          <w:highlight w:val="red"/>
        </w:rPr>
        <w:t>若这些 API 的地址（域名或端口）与页面访问地址不一致</w:t>
      </w:r>
      <w:r>
        <w:rPr>
          <w:rFonts w:ascii="宋体" w:hAnsi="宋体" w:eastAsia="宋体"/>
          <w:b w:val="0"/>
          <w:sz w:val="21"/>
        </w:rPr>
        <w:t>，同样需要开通防火墙策略，否则填报操作将失败。</w:t>
      </w:r>
    </w:p>
    <w:p w14:paraId="209DBFCC"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由于综调系统已禁用浏览器开发者工具（F12），无法通过页面调试方式查看请求地址，请贵方通过以下方式整理后端 API 地址清单：</w:t>
      </w:r>
    </w:p>
    <w:p w14:paraId="3458A97A">
      <w:pPr>
        <w:pStyle w:val="16"/>
        <w:spacing w:after="60"/>
      </w:pPr>
      <w:r>
        <w:rPr>
          <w:rFonts w:ascii="宋体" w:hAnsi="宋体" w:eastAsia="宋体"/>
          <w:b w:val="0"/>
          <w:sz w:val="21"/>
        </w:rPr>
        <w:t>方式一（推荐）：联系综调系统供应商，索取割接填报功能所调用的后端服务地址列表（域名、端口、协议）；</w:t>
      </w:r>
    </w:p>
    <w:p w14:paraId="79221E4D">
      <w:pPr>
        <w:pStyle w:val="16"/>
        <w:spacing w:after="60"/>
      </w:pPr>
      <w:r>
        <w:rPr>
          <w:rFonts w:ascii="宋体" w:hAnsi="宋体" w:eastAsia="宋体"/>
          <w:b w:val="0"/>
          <w:sz w:val="21"/>
        </w:rPr>
        <w:t>方式二：在已开通上述第 5 项策略的前提下，通过防火墙/网络设备的拒绝访问日志，排查应用服务器访问综调系统时被阻断的目标地址，据此补充开通相应策略。</w:t>
      </w:r>
    </w:p>
    <w:p w14:paraId="5C44667F"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整理结果请反馈我方，以便同步确认系统功能可用。</w:t>
      </w:r>
    </w:p>
    <w:p w14:paraId="736038A1">
      <w:pPr>
        <w:pStyle w:val="4"/>
      </w:pPr>
      <w:r>
        <w:rPr>
          <w:rFonts w:ascii="微软雅黑" w:hAnsi="微软雅黑" w:eastAsia="微软雅黑"/>
          <w:b/>
          <w:color w:val="1F4E79"/>
          <w:sz w:val="26"/>
        </w:rPr>
        <w:t>7.2 模型网关正式地址确认</w:t>
      </w:r>
    </w:p>
    <w:p w14:paraId="02B06C37"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验证码识别所调用的多模态模型网关当前地址为 172.16.129.251:4000。若正式环境中该服务的地址有变化，请提前告知，以便同步调整系统配置。</w:t>
      </w:r>
    </w:p>
    <w:p w14:paraId="0F51F8B3">
      <w:pPr>
        <w:pStyle w:val="3"/>
      </w:pPr>
      <w:r>
        <w:rPr>
          <w:rFonts w:ascii="微软雅黑" w:hAnsi="微软雅黑" w:eastAsia="微软雅黑"/>
          <w:b/>
          <w:color w:val="1F4E79"/>
          <w:sz w:val="32"/>
        </w:rPr>
        <w:t>8. 策略开通后的验证方法（参考）</w:t>
      </w:r>
    </w:p>
    <w:p w14:paraId="24020FDC"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策略开通后，可在应用服务器上执行以下命令快速验证连通性：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576"/>
      </w:tblGrid>
      <w:tr w14:paraId="1D0A0075">
        <w:trPr>
          <w:jc w:val="center"/>
        </w:trPr>
        <w:tc>
          <w:tcPr>
            <w:tcW w:w="2268" w:type="dxa"/>
            <w:shd w:val="clear" w:color="auto" w:fill="1F4E79"/>
          </w:tcPr>
          <w:p w14:paraId="5B11A84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验证对象</w:t>
            </w:r>
          </w:p>
        </w:tc>
        <w:tc>
          <w:tcPr>
            <w:tcW w:w="6576" w:type="dxa"/>
            <w:shd w:val="clear" w:color="auto" w:fill="1F4E79"/>
          </w:tcPr>
          <w:p w14:paraId="773FC8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验证命令</w:t>
            </w:r>
          </w:p>
        </w:tc>
      </w:tr>
      <w:tr w14:paraId="58007FC8">
        <w:trPr>
          <w:jc w:val="center"/>
        </w:trPr>
        <w:tc>
          <w:tcPr>
            <w:tcW w:w="2268" w:type="dxa"/>
          </w:tcPr>
          <w:p w14:paraId="34D05A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邮箱收信</w:t>
            </w:r>
          </w:p>
        </w:tc>
        <w:tc>
          <w:tcPr>
            <w:tcW w:w="6576" w:type="dxa"/>
          </w:tcPr>
          <w:p w14:paraId="31C416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nc -vz imap-ent.21cn.com 993</w:t>
            </w:r>
          </w:p>
        </w:tc>
      </w:tr>
      <w:tr w14:paraId="216E38B9">
        <w:trPr>
          <w:jc w:val="center"/>
        </w:trPr>
        <w:tc>
          <w:tcPr>
            <w:tcW w:w="2268" w:type="dxa"/>
          </w:tcPr>
          <w:p w14:paraId="5C5690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邮箱发信</w:t>
            </w:r>
          </w:p>
        </w:tc>
        <w:tc>
          <w:tcPr>
            <w:tcW w:w="6576" w:type="dxa"/>
          </w:tcPr>
          <w:p w14:paraId="72B635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nc -vz smtp-ent.21cn.com 465</w:t>
            </w:r>
          </w:p>
        </w:tc>
      </w:tr>
      <w:tr w14:paraId="1A7B964B">
        <w:trPr>
          <w:jc w:val="center"/>
        </w:trPr>
        <w:tc>
          <w:tcPr>
            <w:tcW w:w="2268" w:type="dxa"/>
          </w:tcPr>
          <w:p w14:paraId="290959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Omni 服务</w:t>
            </w:r>
          </w:p>
        </w:tc>
        <w:tc>
          <w:tcPr>
            <w:tcW w:w="6576" w:type="dxa"/>
          </w:tcPr>
          <w:p w14:paraId="76F65E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curl -v --max-time 10 http://172.16.129.251:3000/</w:t>
            </w:r>
          </w:p>
        </w:tc>
      </w:tr>
      <w:tr w14:paraId="69B96167">
        <w:trPr>
          <w:jc w:val="center"/>
        </w:trPr>
        <w:tc>
          <w:tcPr>
            <w:tcW w:w="2268" w:type="dxa"/>
          </w:tcPr>
          <w:p w14:paraId="687CA76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模型网关</w:t>
            </w:r>
          </w:p>
        </w:tc>
        <w:tc>
          <w:tcPr>
            <w:tcW w:w="6576" w:type="dxa"/>
          </w:tcPr>
          <w:p w14:paraId="11378D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curl -v --max-time 10 http://172.16.129.251:4000/</w:t>
            </w:r>
          </w:p>
        </w:tc>
      </w:tr>
      <w:tr w14:paraId="7D2C8255">
        <w:trPr>
          <w:jc w:val="center"/>
        </w:trPr>
        <w:tc>
          <w:tcPr>
            <w:tcW w:w="2268" w:type="dxa"/>
          </w:tcPr>
          <w:p w14:paraId="5B6F87F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综调正式门户</w:t>
            </w:r>
          </w:p>
        </w:tc>
        <w:tc>
          <w:tcPr>
            <w:tcW w:w="6576" w:type="dxa"/>
          </w:tcPr>
          <w:p w14:paraId="254E41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curl -kv --max-time 10 https://ofm.crm.189.cn:23065/portal/</w:t>
            </w:r>
          </w:p>
        </w:tc>
      </w:tr>
      <w:tr w14:paraId="46BA516F">
        <w:trPr>
          <w:jc w:val="center"/>
        </w:trPr>
        <w:tc>
          <w:tcPr>
            <w:tcW w:w="2268" w:type="dxa"/>
          </w:tcPr>
          <w:p w14:paraId="48DB244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综调测试门户</w:t>
            </w:r>
          </w:p>
        </w:tc>
        <w:tc>
          <w:tcPr>
            <w:tcW w:w="6576" w:type="dxa"/>
          </w:tcPr>
          <w:p w14:paraId="78DB7F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curl -kv --max-time 10 https://ofm.crm.189.cn:23122/portal/</w:t>
            </w:r>
          </w:p>
        </w:tc>
      </w:tr>
    </w:tbl>
    <w:p w14:paraId="134430EB">
      <w:pPr>
        <w:spacing w:after="40"/>
      </w:pPr>
    </w:p>
    <w:p w14:paraId="597FFC5B">
      <w:pPr>
        <w:spacing w:after="120"/>
        <w:ind w:firstLine="420"/>
      </w:pPr>
      <w:r>
        <w:rPr>
          <w:rFonts w:ascii="宋体" w:hAnsi="宋体" w:eastAsia="宋体"/>
          <w:b w:val="0"/>
          <w:sz w:val="21"/>
        </w:rPr>
        <w:t>命令能建立连接（或收到 HTTP 响应）即表示对应策略已放通。</w:t>
      </w:r>
    </w:p>
    <w:sectPr>
      <w:pgSz w:w="12240" w:h="15840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4D"/>
    <w:family w:val="roman"/>
    <w:pitch w:val="default"/>
    <w:sig w:usb0="E0000AFF" w:usb1="00007843" w:usb2="00000001" w:usb3="00000000" w:csb0="400001BF" w:csb1="DFF70000"/>
  </w:font>
  <w:font w:name="宋体">
    <w:panose1 w:val="02010600030101010101"/>
    <w:charset w:val="80"/>
    <w:family w:val="moder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DD1990"/>
    <w:rsid w:val="7FFE5A5F"/>
    <w:rsid w:val="C9FF0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S-凛</cp:lastModifiedBy>
  <dcterms:modified xsi:type="dcterms:W3CDTF">2026-08-25T17:05:09Z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208A26434FF2D6CDF2588D6AB5B92140_42</vt:lpwstr>
  </property>
</Properties>
</file>