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0B599">
      <w:pPr>
        <w:jc w:val="center"/>
        <w:rPr>
          <w:rFonts w:hint="eastAsia" w:ascii="Heiti SC Medium" w:hAnsi="Heiti SC Medium" w:eastAsia="Heiti SC Medium" w:cs="Heiti SC Medium"/>
          <w:b/>
          <w:sz w:val="40"/>
          <w:szCs w:val="48"/>
          <w:lang w:val="en-US" w:eastAsia="zh-CN"/>
        </w:rPr>
      </w:pPr>
      <w:r>
        <w:rPr>
          <w:rFonts w:hint="eastAsia" w:ascii="Heiti SC Medium" w:hAnsi="Heiti SC Medium" w:eastAsia="Heiti SC Medium" w:cs="Heiti SC Medium"/>
          <w:b/>
          <w:sz w:val="40"/>
          <w:szCs w:val="48"/>
          <w:lang w:val="en-US" w:eastAsia="zh-CN"/>
        </w:rPr>
        <w:t>需求分析</w:t>
      </w:r>
    </w:p>
    <w:p w14:paraId="5D4A02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textAlignment w:val="auto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数据需求</w:t>
      </w:r>
    </w:p>
    <w:p w14:paraId="2778D74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静态数据</w:t>
      </w:r>
    </w:p>
    <w:p w14:paraId="465CAEA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静态数据是指系统运行的基础字典、枚举常量与配置规范。这类数据生命周期长、更新频率极低，主要用于驱动核心业务逻辑的分支判断、前端 UI 状态展示以及底层渲染协议的解析。具体包含以下四大类：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446"/>
        <w:gridCol w:w="3460"/>
        <w:gridCol w:w="2179"/>
      </w:tblGrid>
      <w:tr w14:paraId="46D8CF64">
        <w:trPr>
          <w:tblHeader/>
          <w:tblCellSpacing w:w="15" w:type="dxa"/>
          <w:jc w:val="center"/>
        </w:trPr>
        <w:tc>
          <w:tcPr>
            <w:tcW w:w="129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1735569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  <w:lang w:val="en-US" w:eastAsia="zh-CN"/>
              </w:rPr>
              <w:t>数据类别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B974E0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  <w:lang w:val="en-US" w:eastAsia="zh-CN"/>
              </w:rPr>
              <w:t>数据名称 / 字段</w:t>
            </w:r>
          </w:p>
        </w:tc>
        <w:tc>
          <w:tcPr>
            <w:tcW w:w="34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07DBB6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  <w:lang w:val="en-US" w:eastAsia="zh-CN"/>
              </w:rPr>
              <w:t>枚举值 / 包含内容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B15E30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  <w:lang w:val="en-US" w:eastAsia="zh-CN"/>
              </w:rPr>
              <w:t>用途说明</w:t>
            </w:r>
          </w:p>
        </w:tc>
      </w:tr>
      <w:tr w14:paraId="335929DB">
        <w:trPr>
          <w:tblCellSpacing w:w="15" w:type="dxa"/>
          <w:jc w:val="center"/>
        </w:trPr>
        <w:tc>
          <w:tcPr>
            <w:tcW w:w="129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3085DF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1. 基础架构与组织字典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0F9C5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高校与机构库</w:t>
            </w:r>
          </w:p>
        </w:tc>
        <w:tc>
          <w:tcPr>
            <w:tcW w:w="34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2C58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id (唯一标识)</w:t>
            </w:r>
          </w:p>
          <w:p w14:paraId="4A9D46F6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6656231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name (学校全称)</w:t>
            </w:r>
          </w:p>
          <w:p w14:paraId="168494C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72D6C60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region_code (行政区划代码)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C6AFC4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作为基础字典，支撑用户注册时的归属地选择，以及课程的跨校可见性控制逻辑。</w:t>
            </w:r>
          </w:p>
        </w:tc>
      </w:tr>
      <w:tr w14:paraId="3497117C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6736EEF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2. 系统角色与权限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055BDCE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全局用户角色标识 (role)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CEC4EC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STUDENT (学生)</w:t>
            </w:r>
          </w:p>
          <w:p w14:paraId="7CBAD6D0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3EC93DC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TEACHER (教师)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8752D59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定义系统用户的核心权限边界与身份标识。</w:t>
            </w:r>
          </w:p>
        </w:tc>
      </w:tr>
      <w:tr w14:paraId="70D8F8E3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25686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5A42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课程内成员状态 (status)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CAD46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PENDING (待审核，不可访问正文)</w:t>
            </w:r>
          </w:p>
          <w:p w14:paraId="07494C5E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3DB4EA31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JOINED (已正式加入，可访问所有内容)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1FA78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用于精确控制学生对特定课程内部资源的访问与交互权限。</w:t>
            </w:r>
          </w:p>
        </w:tc>
      </w:tr>
      <w:tr w14:paraId="73B6B935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71E1F8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3. 课程全生命周期与控制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0B2566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课程生命周期状态 (status)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06B8AA8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PRE_RELEASE (预发布，仅教师可见)</w:t>
            </w:r>
          </w:p>
          <w:p w14:paraId="6FD2F99C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5C105B40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IN_PROGRESS (进行中，正常交互)</w:t>
            </w:r>
          </w:p>
          <w:p w14:paraId="01B9FCD1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068B097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COMPLETED (已完结，只读不可补充)</w:t>
            </w:r>
          </w:p>
          <w:p w14:paraId="425CB591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6AFBC23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HIDDEN (隐藏下架)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BF1E9B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控制课程在其生命周期中所处的业务阶段，决定师生的可操作范围。</w:t>
            </w:r>
          </w:p>
        </w:tc>
      </w:tr>
      <w:tr w14:paraId="25F0E8DC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20E8A9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F185F8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课程可见性策略 (visibility)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C10244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PUBLIC (全网公开)</w:t>
            </w:r>
          </w:p>
          <w:p w14:paraId="5EEECADE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5AE39DC9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RESTRICTED (仅限关联本校的学生搜索发现)</w:t>
            </w:r>
          </w:p>
          <w:p w14:paraId="56796BE8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683E469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PRIVATE (私密，不可被搜索)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48DD1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控制系统的搜索发现机制与信息降噪策略。</w:t>
            </w:r>
          </w:p>
        </w:tc>
      </w:tr>
      <w:tr w14:paraId="5678B292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7EB0F4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D2CA41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课程准入权限 (permission)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8E8FB2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OPEN (开放，点击即写表加入)</w:t>
            </w:r>
          </w:p>
          <w:p w14:paraId="7B630CB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5F967BD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APPLY (受限，需提交申请理由并由教师审核)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AE41A1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控制学生加入特定课程的链路逻辑。</w:t>
            </w:r>
          </w:p>
        </w:tc>
      </w:tr>
      <w:tr w14:paraId="0C034642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9CE93C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FF24C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课程栏目类型 (type)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BA917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DISPLAY (Markdown 富文本页)</w:t>
            </w:r>
          </w:p>
          <w:p w14:paraId="3A0D60C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bookmarkStart w:id="0" w:name="_GoBack"/>
            <w:bookmarkEnd w:id="0"/>
          </w:p>
          <w:p w14:paraId="009E7C8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STORAGE (网盘文件页)</w:t>
            </w:r>
          </w:p>
          <w:p w14:paraId="2EF886F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758F878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AI (智能助教对话页)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AFDBE8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决定移动端前端点击后，路由加载哪一种具体的页面渲染组件。</w:t>
            </w:r>
          </w:p>
        </w:tc>
      </w:tr>
      <w:tr w14:paraId="4F96C0B2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80FA044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FE0E3B4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文件对象类型 (type)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2BD5487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FILE (具体文件，可下载/预览)</w:t>
            </w:r>
          </w:p>
          <w:p w14:paraId="0FC87E7F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2BA9BA6B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FOLDER (文件夹，触发路由跳转或递归加载)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0219F3E7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在存储网盘页面中，用于区分资源层级与用户操作逻辑。</w:t>
            </w:r>
          </w:p>
        </w:tc>
      </w:tr>
      <w:tr w14:paraId="749E8968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DC871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4. 算法引擎与渲染常量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5AFE3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DSL 核心指令字典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C8050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实体动作 (SWAP, MOVE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等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)</w:t>
            </w:r>
          </w:p>
          <w:p w14:paraId="16375865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38E49AEC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时间轴参数键</w:t>
            </w:r>
          </w:p>
          <w:p w14:paraId="7677B099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  <w:p w14:paraId="3905684F">
            <w:pPr>
              <w:bidi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缓动动画曲线常量 ( easeInOutQuad)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等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FFC33E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定义云端生成逻辑的标准化词汇，是前端 Flutter 画布解析指令流的静态映射依据。</w:t>
            </w:r>
          </w:p>
        </w:tc>
      </w:tr>
      <w:tr w14:paraId="2C4DD8FF">
        <w:trPr>
          <w:tblCellSpacing w:w="15" w:type="dxa"/>
          <w:jc w:val="center"/>
        </w:trPr>
        <w:tc>
          <w:tcPr>
            <w:tcW w:w="129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C162D4A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C92C6F3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大模型基座配置字典 (model_name)</w:t>
            </w:r>
          </w:p>
        </w:tc>
        <w:tc>
          <w:tcPr>
            <w:tcW w:w="3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992768D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  <w:t>deepseek-v3 等内置模型标识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BFD9F52">
            <w:pPr>
              <w:bidi w:val="0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  <w:lang w:val="en-US" w:eastAsia="zh-CN"/>
              </w:rPr>
              <w:t>供 Python 智能计算层在分发 RAG 推理与渲染任务时，进行算力调度与模型选择。</w:t>
            </w:r>
          </w:p>
        </w:tc>
      </w:tr>
    </w:tbl>
    <w:p w14:paraId="5CD511DB">
      <w:pPr>
        <w:numPr>
          <w:numId w:val="0"/>
        </w:numPr>
        <w:ind w:leftChars="0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</w:p>
    <w:p w14:paraId="60BFA91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动态数据</w:t>
      </w:r>
    </w:p>
    <w:p w14:paraId="3666FEF2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动态数据是指系统在业务流转、内容沉淀及智能化交互过程中高频读写的数据。结合本系统的“双栈微服务”架构与底层持久化方案，动态数据涵盖了从基础教学结构到复杂 AI 渲染指令的全链路实体，具体分为以下六大类：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473"/>
        <w:gridCol w:w="3119"/>
        <w:gridCol w:w="2613"/>
      </w:tblGrid>
      <w:tr w14:paraId="4B313017">
        <w:trPr>
          <w:tblHeader/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9271D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数据类别</w:t>
            </w:r>
          </w:p>
        </w:tc>
        <w:tc>
          <w:tcPr>
            <w:tcW w:w="14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D473C0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数据名称 / 核心字段</w:t>
            </w:r>
          </w:p>
        </w:tc>
        <w:tc>
          <w:tcPr>
            <w:tcW w:w="30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4E2DE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数据结构与内容特征</w:t>
            </w:r>
          </w:p>
        </w:tc>
        <w:tc>
          <w:tcPr>
            <w:tcW w:w="25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4D9094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用途与业务说明</w:t>
            </w:r>
          </w:p>
        </w:tc>
      </w:tr>
      <w:tr w14:paraId="619BB381">
        <w:trPr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A19A2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1. 账户与鉴权流数据</w:t>
            </w:r>
          </w:p>
        </w:tc>
        <w:tc>
          <w:tcPr>
            <w:tcW w:w="14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4F01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用户核心态数据</w:t>
            </w:r>
          </w:p>
        </w:tc>
        <w:tc>
          <w:tcPr>
            <w:tcW w:w="30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9E641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nickname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avatar_url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, 加盐哈希密码</w:t>
            </w:r>
          </w:p>
        </w:tc>
        <w:tc>
          <w:tcPr>
            <w:tcW w:w="25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7AEDA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用户基础数据流，支撑前端的个人中心渲染。</w:t>
            </w:r>
          </w:p>
        </w:tc>
      </w:tr>
      <w:tr w14:paraId="12AAB7F2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8CD362E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E83E0C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会话与风控状态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B3596A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Session Token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device_id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, 登录时间戳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C8ECE0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支撑长效状态保持与防越权的拦截控制。</w:t>
            </w:r>
          </w:p>
        </w:tc>
      </w:tr>
      <w:tr w14:paraId="21E97ADE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3BFB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2. 树状教学编排体系</w:t>
            </w: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4835C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课程主体生命周期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2D95D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(PRE_RELEASE/IN_PROGRESS),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visibility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D567D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控制课程实体的可见性与师生准入状态流转。</w:t>
            </w:r>
          </w:p>
        </w:tc>
      </w:tr>
      <w:tr w14:paraId="54DDF044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E538819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0CE31E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树状章节与栏目索引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E0B600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section_id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parent_id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sort_order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3D005B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教师构建课程大纲的核心数据，支撑前端动态生成带有层级关系的导航菜单。</w:t>
            </w:r>
          </w:p>
        </w:tc>
      </w:tr>
      <w:tr w14:paraId="6B615617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FDD615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BE0A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富文本展示层数据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F9DC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content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(Markdown 源码),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72D5C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当栏目类型为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DISPLAY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时，存储教师编写的图文、公式等结构化教学正文。</w:t>
            </w:r>
          </w:p>
        </w:tc>
      </w:tr>
      <w:tr w14:paraId="0882A803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DC7330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3. 无限层级云盘与素材</w:t>
            </w: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7D8C3E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网盘目录拓扑结构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1A9D8F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递归的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parent_id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type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(FILE/FOLDER)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C500C2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构建类似百度网盘的无限层级文件夹树，支撑文件归属关系与级联删除逻辑。</w:t>
            </w:r>
          </w:p>
        </w:tc>
      </w:tr>
      <w:tr w14:paraId="0CDD2DC6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9DC3B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5DB2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二进制流与元数据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FAF1A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file_url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(OSS下载链接),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file_size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file_ext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6F5B0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教师上传的原始非结构化课件（PDF/PPT等），持久化存储于云端对象存储中。</w:t>
            </w:r>
          </w:p>
        </w:tc>
      </w:tr>
      <w:tr w14:paraId="36E33421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A5C69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4. 空间映射与语义向量</w:t>
            </w:r>
          </w:p>
          <w:p w14:paraId="57236BF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3B5E21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iCs/>
                <w:color w:val="000000"/>
              </w:rPr>
              <w:t>(RAG 核心)</w:t>
            </w: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F1B020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版式解析与锚点坐标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256AD5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page_num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归一化边界框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bboxes [x0, y0, x1, y1]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E71BEF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经深度学习模型提取的物理布局数据，是移动端跨设备实现“指哪打哪”精准高亮的依据。</w:t>
            </w:r>
          </w:p>
        </w:tc>
      </w:tr>
      <w:tr w14:paraId="2DE01F9D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6071F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47E0A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高维语义向量特征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43AE8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embedding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(多维浮点数数组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vector(n)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753F8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提取自教案切片并存入 PostgreSQL (pgvector)，支撑核心的自然语言语义相似度检索。</w:t>
            </w:r>
          </w:p>
        </w:tc>
      </w:tr>
      <w:tr w14:paraId="59D17E93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EB53B2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5. 场景化 AI 策略与问答流</w:t>
            </w: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570A02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切片化 AI 约束配置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795C4D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system_prompt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(系统提示词),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welcome_message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1C8C30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（对应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section_ai_configs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表）教师针对特定章节设置的规则参数，强干预大模型的生成边界。</w:t>
            </w:r>
          </w:p>
        </w:tc>
      </w:tr>
      <w:tr w14:paraId="7868B4DF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329E1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AB3E2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上下文记忆与状态追踪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A8EC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问答文本 (Markdown), 发送者标识 (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A8B49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（对应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ai_chat_messages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表）持久化存储师生对话历史，作为长效记忆注入 AI 引擎以维持逻辑连贯性。</w:t>
            </w:r>
          </w:p>
        </w:tc>
      </w:tr>
      <w:tr w14:paraId="1EC5AAB2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079FD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6. 渲染指令与画布交互流</w:t>
            </w:r>
          </w:p>
          <w:p w14:paraId="72A268C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556283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iCs/>
                <w:color w:val="000000"/>
              </w:rPr>
              <w:t>(DSL 核心)</w:t>
            </w: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8801F2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动态逻辑指令流 (DSL)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BA8C7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JSON 格式意图指令 (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INIT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SWAP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等)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E82C06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云端实时下发、驱动前端 Flutter 画布重绘状态机的指令包，极低带宽占用。</w:t>
            </w:r>
          </w:p>
        </w:tc>
      </w:tr>
      <w:tr w14:paraId="0191C19D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12E771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6057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画布演进快照 (Snapshot)</w:t>
            </w:r>
          </w:p>
        </w:tc>
        <w:tc>
          <w:tcPr>
            <w:tcW w:w="30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3A9F3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frame_id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当前辅助变量状态 (如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dp[i]=5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5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51633F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记录算法动画演进过程中的局部状态，支持学生在客户端进行交互式的“暂停”、“回溯”等操作。</w:t>
            </w:r>
          </w:p>
        </w:tc>
      </w:tr>
    </w:tbl>
    <w:p w14:paraId="630C1A9F"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4"/>
          <w:szCs w:val="32"/>
          <w:lang w:val="en-US" w:eastAsia="zh-CN"/>
        </w:rPr>
      </w:pPr>
    </w:p>
    <w:p w14:paraId="75BE0B2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数据词典</w:t>
      </w:r>
    </w:p>
    <w:p w14:paraId="0F4E450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本系统的数据持久层基于 PostgreSQL 关系型数据库构建，并深度集成了 pgvector 扩展插件以支持高维语义向量存储。系统采用统一的物理删除与软删除结合机制，所有主键（PK）均采用分布式雪花算法生成的 BigInt。以下为系统核心业务实体的数据词典说明：</w:t>
      </w:r>
    </w:p>
    <w:p w14:paraId="5148B029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1. 用户核心表 (users)</w:t>
      </w:r>
    </w:p>
    <w:p w14:paraId="6986FA29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存储系统所有角色（学生、教师）的通用鉴权与基础档案信息。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1383"/>
        <w:gridCol w:w="797"/>
        <w:gridCol w:w="571"/>
        <w:gridCol w:w="3932"/>
      </w:tblGrid>
      <w:tr w14:paraId="0DF263BD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DD98F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BC0D6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5DF09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B0AE6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913D5F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43D49617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EBF85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38BC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674A7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AD585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E4CB4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用户唯一标识（雪花算法 ID）</w:t>
            </w:r>
          </w:p>
        </w:tc>
      </w:tr>
      <w:tr w14:paraId="10D4D9BD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3DA615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4C707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61CD27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59904C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FC26A0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用户登录账号，全局唯一</w:t>
            </w:r>
          </w:p>
        </w:tc>
      </w:tr>
      <w:tr w14:paraId="0A9E3A46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90360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FD2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A942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293C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71F2A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加盐哈希处理后的安全密码</w:t>
            </w:r>
          </w:p>
        </w:tc>
      </w:tr>
      <w:tr w14:paraId="318CFAC1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8E0D63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173865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38B125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A138D8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987E0F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用户角色（STUDENT / TEACHER）</w:t>
            </w:r>
          </w:p>
        </w:tc>
      </w:tr>
      <w:tr w14:paraId="09DB3450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4B77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BC811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291E1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01783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5BD196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用户界面展示昵称</w:t>
            </w:r>
          </w:p>
        </w:tc>
      </w:tr>
      <w:tr w14:paraId="40908196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310A6A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395C14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057918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444999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47C32B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账号注册时间</w:t>
            </w:r>
          </w:p>
        </w:tc>
      </w:tr>
    </w:tbl>
    <w:p w14:paraId="2F0BABC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2. 课程大纲与树状栏目表 (course_sections)</w:t>
      </w:r>
    </w:p>
    <w:p w14:paraId="03213B05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存储课程的树状目录结构，采用 parent_id 维持层级关系，决定前端导航栏的渲染。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383"/>
        <w:gridCol w:w="1043"/>
        <w:gridCol w:w="559"/>
        <w:gridCol w:w="4329"/>
      </w:tblGrid>
      <w:tr w14:paraId="7F1724C8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74A97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5306F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6255D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5391F4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9C64D8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0C6080CA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64F47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A9E36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3ABD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435BD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0C503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栏目唯一标识</w:t>
            </w:r>
          </w:p>
        </w:tc>
      </w:tr>
      <w:tr w14:paraId="465795EC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1710E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70E198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F863A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FK, 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CE7119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02BE44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所属课程的主表 ID</w:t>
            </w:r>
          </w:p>
        </w:tc>
      </w:tr>
      <w:tr w14:paraId="113D6554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1CBC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7CCA9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0C23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9686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AF87C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父栏目 ID（为 NULL 时代表顶级章节）</w:t>
            </w:r>
          </w:p>
        </w:tc>
      </w:tr>
      <w:tr w14:paraId="09BB9B78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C9CB1E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BF1EE9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437E57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5CDBA3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94EFAF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栏目显示标题（如“第一章 线性表”）</w:t>
            </w:r>
          </w:p>
        </w:tc>
      </w:tr>
      <w:tr w14:paraId="30C6579E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6280E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6714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4A49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1F200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C31D1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栏目类型（DISPLAY / STORAGE / AI）</w:t>
            </w:r>
          </w:p>
        </w:tc>
      </w:tr>
      <w:tr w14:paraId="723725F9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2B4064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sort_order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39C5B4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4C9F4A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057DFF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0A25A9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同级目录下的同级排序权重</w:t>
            </w:r>
          </w:p>
        </w:tc>
      </w:tr>
    </w:tbl>
    <w:p w14:paraId="2481CE9E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3. 课程富文本内容表 (section_contents)</w:t>
      </w:r>
    </w:p>
    <w:p w14:paraId="0AAE81F8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专门存储栏目类型为 DISPLAY 时的 Markdown 富文本内容，与栏目表垂直拆分以优化查询性能。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051"/>
        <w:gridCol w:w="1224"/>
        <w:gridCol w:w="571"/>
        <w:gridCol w:w="4159"/>
      </w:tblGrid>
      <w:tr w14:paraId="157877FB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2B993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A8057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460B96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72AE6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914D00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0F88214B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45FB8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CD92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C87D8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8953E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6333F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108DEE8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C5D013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section_id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9CCA58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9F1A78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FK, Unique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C477B5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66F8A9E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关联的栏目 ID（1对1关系）</w:t>
            </w:r>
          </w:p>
        </w:tc>
      </w:tr>
      <w:tr w14:paraId="54A52FD8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1DF66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DAC05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4CD3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2E6A3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A0CC4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Markdown 源码，支持公式与图片链接</w:t>
            </w:r>
          </w:p>
        </w:tc>
      </w:tr>
      <w:tr w14:paraId="3099FAE7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486A04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A16F25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04622E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3B23B3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091B2FF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教师最后一次编辑保存的时间戳</w:t>
            </w:r>
          </w:p>
        </w:tc>
      </w:tr>
    </w:tbl>
    <w:p w14:paraId="5BE20FDE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4. 网盘文件系统表 (course_files)</w:t>
      </w:r>
    </w:p>
    <w:p w14:paraId="6DB51CC8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当栏目类型为 STORAGE 时，支撑类似百度网盘的无限层级文件管理。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383"/>
        <w:gridCol w:w="997"/>
        <w:gridCol w:w="534"/>
        <w:gridCol w:w="4400"/>
      </w:tblGrid>
      <w:tr w14:paraId="0C62D073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F10D8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B18C8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F7DA4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30C61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F20B2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793388CB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A9585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511D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AA297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795D4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60BF7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442878C1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0D672B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section_id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32781A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E8C21E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FK, 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E3B935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5D901A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所属存储栏目 ID</w:t>
            </w:r>
          </w:p>
        </w:tc>
      </w:tr>
      <w:tr w14:paraId="5252850F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70859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34E2E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08B13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87486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25EE4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父文件夹 ID，为 NULL 时代表存储根目录</w:t>
            </w:r>
          </w:p>
        </w:tc>
      </w:tr>
      <w:tr w14:paraId="525D2A94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AFC84F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CFEF88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C1720F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F880D9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D44CEB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实体类型：FILE (文件) 或 FOLDER (文件夹)</w:t>
            </w:r>
          </w:p>
        </w:tc>
      </w:tr>
      <w:tr w14:paraId="7480E16C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D398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E385C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735D3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2E7A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380EF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资源显示名称（如“操作系统核心.pdf”）</w:t>
            </w:r>
          </w:p>
        </w:tc>
      </w:tr>
      <w:tr w14:paraId="527F2C44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5C4083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file_url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99D68B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001816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9C9F4F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9F1EF7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OSS 云端下载绝对链接（仅 FILE 类型有效）</w:t>
            </w:r>
          </w:p>
        </w:tc>
      </w:tr>
      <w:tr w14:paraId="72C98110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9FDC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5666B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A964C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23B31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0B8812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文件大小，单位字节（仅 FILE 类型有效）</w:t>
            </w:r>
          </w:p>
        </w:tc>
      </w:tr>
      <w:tr w14:paraId="24038F09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05DB8C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file_ext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1A53DF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58A6DB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8B3CD3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44A9E4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文件扩展名/格式（如 pdf, pptx）</w:t>
            </w:r>
          </w:p>
        </w:tc>
      </w:tr>
    </w:tbl>
    <w:p w14:paraId="07444E41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5. 智能助教个性化配置表 (section_ai_configs)</w:t>
      </w:r>
    </w:p>
    <w:p w14:paraId="5B487242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eastAsia="sans-serif" w:cs="Times New Roman Regular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当栏目类型为 AI 时，存储教师针对不同知识点设定的 AI 知识边界与引导规则。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1383"/>
        <w:gridCol w:w="1064"/>
        <w:gridCol w:w="481"/>
        <w:gridCol w:w="3893"/>
      </w:tblGrid>
      <w:tr w14:paraId="10C0D690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D93B6A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65456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1321B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8EDC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599E69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3D27BC30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30A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AB586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B215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C34EF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35691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7998923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34442E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section_id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207692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95DDCB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FK, Unique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895EF7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15FA86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关联的栏目 ID（1对1关系）</w:t>
            </w:r>
          </w:p>
        </w:tc>
      </w:tr>
      <w:tr w14:paraId="4617460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2655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system_prompt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D80E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D54C5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D28BF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FF3DC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核心字段：约束大模型角色与回答范围的系统级提示词</w:t>
            </w:r>
          </w:p>
        </w:tc>
      </w:tr>
      <w:tr w14:paraId="5623C7A1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733CC6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welcome_msg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FAE6E5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90CC50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B26F02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6B29255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学生进入该 AI 页面时，助教主动发送的欢迎语</w:t>
            </w:r>
          </w:p>
        </w:tc>
      </w:tr>
    </w:tbl>
    <w:p w14:paraId="4B193C8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lang w:val="en-US" w:eastAsia="zh-CN"/>
        </w:rPr>
        <w:t>6. RAG 语义切片与向量空间表 (knowledge_vectors)</w:t>
      </w:r>
    </w:p>
    <w:p w14:paraId="4C3CFAAE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系统实现跨模态图文精准定位及 RAG 检索的核心底层表（依赖 pgvector 扩展）。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1383"/>
        <w:gridCol w:w="1182"/>
        <w:gridCol w:w="483"/>
        <w:gridCol w:w="4186"/>
      </w:tblGrid>
      <w:tr w14:paraId="72A35465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ED4488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2B556A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A6BC1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E41B40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0329AB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</w:tr>
      <w:tr w14:paraId="3F39E244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38B71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A6AF5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2DAD0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8C4E4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C94AC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6166521E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CFA923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file_id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B0DDFB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1A7953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FK, 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BEC803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C3E848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关联的原始文件 ID（对应 course_files 表）</w:t>
            </w:r>
          </w:p>
        </w:tc>
      </w:tr>
      <w:tr w14:paraId="4B671ACE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93E3F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page_num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345D7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1BF03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3BB2C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F8249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该切片在原始非结构化文档中的所在页码</w:t>
            </w:r>
          </w:p>
        </w:tc>
      </w:tr>
      <w:tr w14:paraId="631EC482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980340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ADCB6B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8FFF07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FTS 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12B4A5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303559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经版式分析提取清洗后的纯文本（用于 BM25 检索）</w:t>
            </w:r>
          </w:p>
        </w:tc>
      </w:tr>
      <w:tr w14:paraId="4583C0C1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3006D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bboxes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A953F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JSONB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BB507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88414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5B756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空间锚点：该文本在对应页面的归一化边界框坐标数组</w:t>
            </w:r>
          </w:p>
        </w:tc>
      </w:tr>
      <w:tr w14:paraId="04FE990C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9DFCED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727F20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Vector(1536)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C298EC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HNSW Index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9F46ED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6581B5B7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</w:tr>
    </w:tbl>
    <w:p w14:paraId="40C61074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b/>
          <w:bCs/>
          <w:sz w:val="24"/>
          <w:szCs w:val="32"/>
          <w:lang w:val="en-US" w:eastAsia="zh-CN"/>
        </w:rPr>
      </w:pPr>
    </w:p>
    <w:p w14:paraId="7EC658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1.4 数据采集</w:t>
      </w:r>
    </w:p>
    <w:p w14:paraId="5469D9AC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本系统的数据采集机制分为“用户显式输入”、“多模态自动化提取”与“隐式状态感知”三大维度。系统通过前端表单、多模态 AI 引擎及底层状态机实时捕获数据，确保业务流转与智能交互的精确性。具体采集策略如下表所示：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1784"/>
        <w:gridCol w:w="3175"/>
        <w:gridCol w:w="2193"/>
      </w:tblGrid>
      <w:tr w14:paraId="668BB064">
        <w:trPr>
          <w:tblHeader/>
          <w:tblCellSpacing w:w="15" w:type="dxa"/>
        </w:trPr>
        <w:tc>
          <w:tcPr>
            <w:tcW w:w="120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36CAE0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采集类别</w:t>
            </w:r>
          </w:p>
        </w:tc>
        <w:tc>
          <w:tcPr>
            <w:tcW w:w="17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3DB8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采集对象 / 数据项</w:t>
            </w:r>
          </w:p>
        </w:tc>
        <w:tc>
          <w:tcPr>
            <w:tcW w:w="31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1F126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采集方式与技术手段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E81F72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采集时机与频次</w:t>
            </w:r>
          </w:p>
        </w:tc>
      </w:tr>
      <w:tr w14:paraId="7E781451">
        <w:trPr>
          <w:tblCellSpacing w:w="15" w:type="dxa"/>
        </w:trPr>
        <w:tc>
          <w:tcPr>
            <w:tcW w:w="120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63051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1. 显式输入与表单采集</w:t>
            </w:r>
          </w:p>
        </w:tc>
        <w:tc>
          <w:tcPr>
            <w:tcW w:w="17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1DDA5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用户注册信息、鉴权参数</w:t>
            </w:r>
          </w:p>
        </w:tc>
        <w:tc>
          <w:tcPr>
            <w:tcW w:w="31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FE928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移动端/Web 端前端表单提交，通过 HTTPS 协议加密传输至后端网关。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B7B7D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发生于用户注册、登录等鉴权环节。</w:t>
            </w:r>
          </w:p>
        </w:tc>
      </w:tr>
      <w:tr w14:paraId="78F1A9C5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D86A244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A8F788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课程大纲、树状栏目结构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3F1AC8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教师在管理后台通过可视化树形控件拖拽或表单配置生成。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6BE2403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教师创建或编辑课程体系时触发。</w:t>
            </w:r>
          </w:p>
        </w:tc>
      </w:tr>
      <w:tr w14:paraId="274696BB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3A24B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DABD0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Markdown 富文本、系统提示词 (Prompt)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776B8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教师通过内置的 Markdown 编辑器与文本域输入采集。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29EF3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教师编写图文讲义或配置 AI 规则时触发。</w:t>
            </w:r>
          </w:p>
        </w:tc>
      </w:tr>
      <w:tr w14:paraId="5A6BE07F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3D36773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2E6938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智能问答提问 (Prompt Input)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C8A9B2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学生在移动端下半屏对话框输入自然语言文本。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C34088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学习过程中高频触发。</w:t>
            </w:r>
          </w:p>
        </w:tc>
      </w:tr>
      <w:tr w14:paraId="5DE25850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998B9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2. 资源上传与对象采集</w:t>
            </w: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9329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教学课件 (PDF, PPT, 图片)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10219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客户端调用 Multipart 协议上传二进制文件流，后端直传或中转至对象存储 (OSS)。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131E6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教师备课上传资料时触发。</w:t>
            </w:r>
          </w:p>
        </w:tc>
      </w:tr>
      <w:tr w14:paraId="6C8E4962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3A048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3. 多模态自动化特征提取</w:t>
            </w: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0FE1EE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非结构化文本与版式坐标 (BBoxes)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4CD325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原生解析与机器视觉：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后端 Python 引擎接收文档后，调用版式分析模型（如 LayoutLMv3 / PP-Structure）自动切片，提取逻辑段落及对应页面的归一化坐标。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5593D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文件上传后的异步离线处理环节触发。</w:t>
            </w:r>
          </w:p>
        </w:tc>
      </w:tr>
      <w:tr w14:paraId="4D4A23AF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C5D14F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E9C8C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高维语义向量 (Embeddings)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CC6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大模型编码：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将清洗后的纯文本切片传入文本表征模型（Embedding Model），自动计算并提取出高维特征向量。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CB1EE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坐标提取完毕后，自动串联触发并写入 pgvector。</w:t>
            </w:r>
          </w:p>
        </w:tc>
      </w:tr>
      <w:tr w14:paraId="5FACF6E0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B301E86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A1A979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动态渲染指令流 (DSL)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AB2737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LLM 逻辑编译：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云端大模型基于当前对话状态与教师配置进行推理，利用结构化输出（JSON Mode）自动采集生成的原子渲染指令。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CF0DD7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学生提问触发大模型推理后实时生成并流式下发。</w:t>
            </w:r>
          </w:p>
        </w:tc>
      </w:tr>
      <w:tr w14:paraId="704CD4CD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513BB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4. 隐式状态感知与追踪</w:t>
            </w: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BE24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师生对话上下文历史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B02F9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全自动状态追踪：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系统拦截所有的提问与响应流，由对话状态追踪器 (DST) 自动提取角色标识与时间戳落库保存。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BCED7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每次完整对话轮次结束后自动触发。</w:t>
            </w:r>
          </w:p>
        </w:tc>
      </w:tr>
      <w:tr w14:paraId="11460296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B9B9F9A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4002AE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跨端组件实时视口参数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18EB54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设备传感器获取：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前端 Flutter 引擎实时读取设备的屏幕分辨率，以及 PDF 渲染组件的实时缩放比例 (Zoom Scale)。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4B1723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学生触发“溯源跳转”或缩放屏幕时高频实时采集。</w:t>
            </w:r>
          </w:p>
        </w:tc>
      </w:tr>
      <w:tr w14:paraId="37A009D6">
        <w:trPr>
          <w:tblCellSpacing w:w="15" w:type="dxa"/>
        </w:trPr>
        <w:tc>
          <w:tcPr>
            <w:tcW w:w="12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52E892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FDAC4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画布演进快照快照 (Frame State)</w:t>
            </w:r>
          </w:p>
        </w:tc>
        <w:tc>
          <w:tcPr>
            <w:tcW w:w="31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45232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状态机侦听：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移动端 DSL 解释器自动记录用户拖拽进度条时的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frame_id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及对应的局部变量值。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E6B4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学生进行动画回溯交互时实时捕获。</w:t>
            </w:r>
          </w:p>
        </w:tc>
      </w:tr>
    </w:tbl>
    <w:p w14:paraId="4E5F2F22">
      <w:pPr>
        <w:numPr>
          <w:numId w:val="0"/>
        </w:numPr>
        <w:rPr>
          <w:rFonts w:hint="default" w:ascii="Times New Roman Regular" w:hAnsi="Times New Roman Regular" w:cs="Times New Roman Regular"/>
          <w:b/>
          <w:bCs/>
          <w:sz w:val="24"/>
          <w:szCs w:val="32"/>
          <w:lang w:val="en-US" w:eastAsia="zh-CN"/>
        </w:rPr>
      </w:pPr>
    </w:p>
    <w:p w14:paraId="76EBC8E4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功能需求</w:t>
      </w:r>
    </w:p>
    <w:p w14:paraId="54FBBFEB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本系统围绕“智能启发式教学”与“交互式动态洞察”两大核心理念，采用前后端分离与双栈微服务架构。按照业务逻辑与用户角色，系统的功能需求划分为以下 5 个核心子模块：</w:t>
      </w:r>
    </w:p>
    <w:p w14:paraId="26401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2.1 用户认证与权限管理模块</w:t>
      </w:r>
    </w:p>
    <w:p w14:paraId="2D18877A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本模块负责平台所有用户的身份鉴权、角色路由与安全隔离，支持基于 RBAC（基于角色的访问控制）的权限分发机制。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1"/>
        <w:gridCol w:w="1206"/>
        <w:gridCol w:w="771"/>
        <w:gridCol w:w="5328"/>
      </w:tblGrid>
      <w:tr w14:paraId="1B67B7C1">
        <w:trPr>
          <w:tblHeader/>
          <w:tblCellSpacing w:w="15" w:type="dxa"/>
        </w:trPr>
        <w:tc>
          <w:tcPr>
            <w:tcW w:w="10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50A8FF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功能编号</w:t>
            </w:r>
          </w:p>
        </w:tc>
        <w:tc>
          <w:tcPr>
            <w:tcW w:w="11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FC9AF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7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3071D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28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BD1F54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功能描述与约束限制</w:t>
            </w:r>
          </w:p>
        </w:tc>
      </w:tr>
      <w:tr w14:paraId="3971CEA3">
        <w:trPr>
          <w:tblCellSpacing w:w="15" w:type="dxa"/>
        </w:trPr>
        <w:tc>
          <w:tcPr>
            <w:tcW w:w="10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70300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AUTH-01</w:t>
            </w:r>
          </w:p>
        </w:tc>
        <w:tc>
          <w:tcPr>
            <w:tcW w:w="11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346D6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双角色注册与认证</w:t>
            </w:r>
          </w:p>
        </w:tc>
        <w:tc>
          <w:tcPr>
            <w:tcW w:w="7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653E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访客</w:t>
            </w:r>
          </w:p>
        </w:tc>
        <w:tc>
          <w:tcPr>
            <w:tcW w:w="528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BBD3E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支持学生与教师双角色注册。使用加盐哈希算法存储密码。登录成功后系统签发长效 JWT / Session Token，实现状态保持。</w:t>
            </w:r>
          </w:p>
        </w:tc>
      </w:tr>
      <w:tr w14:paraId="7B9BE459">
        <w:trPr>
          <w:tblCellSpacing w:w="15" w:type="dxa"/>
        </w:trPr>
        <w:tc>
          <w:tcPr>
            <w:tcW w:w="10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C7A9FE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AUTH-02</w:t>
            </w:r>
          </w:p>
        </w:tc>
        <w:tc>
          <w:tcPr>
            <w:tcW w:w="11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24E2E5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身份信息维护</w:t>
            </w:r>
          </w:p>
        </w:tc>
        <w:tc>
          <w:tcPr>
            <w:tcW w:w="7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0D9E13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全员</w:t>
            </w:r>
          </w:p>
        </w:tc>
        <w:tc>
          <w:tcPr>
            <w:tcW w:w="528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FC1BDD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用户可修改个人昵称、头像，并绑定相关设备。系统支持多设备登录状态的互斥风控管理（踢出异地登录）。</w:t>
            </w:r>
          </w:p>
        </w:tc>
      </w:tr>
      <w:tr w14:paraId="5E6A829F">
        <w:trPr>
          <w:tblCellSpacing w:w="15" w:type="dxa"/>
        </w:trPr>
        <w:tc>
          <w:tcPr>
            <w:tcW w:w="10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F1C0B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AUTH-03</w:t>
            </w:r>
          </w:p>
        </w:tc>
        <w:tc>
          <w:tcPr>
            <w:tcW w:w="11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95DDF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统一角色路由</w:t>
            </w:r>
          </w:p>
        </w:tc>
        <w:tc>
          <w:tcPr>
            <w:tcW w:w="7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F39EA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28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FF9AA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鉴权中间件根据用户 Role 自动进行菜单级与接口级路由拦截，确保学生无法越权访问教师的课程管理后台。</w:t>
            </w:r>
          </w:p>
        </w:tc>
      </w:tr>
    </w:tbl>
    <w:p w14:paraId="17BFA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2.2 课程与资源管理模块</w:t>
      </w:r>
    </w:p>
    <w:p w14:paraId="1F3B10C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本模块主要服务于教师端，提供从大纲编排、非结构化资料上传到 AI 预设配置的全生命周期课程管理能力。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198"/>
        <w:gridCol w:w="581"/>
        <w:gridCol w:w="5169"/>
      </w:tblGrid>
      <w:tr w14:paraId="0EB3F2F1">
        <w:trPr>
          <w:tblHeader/>
          <w:tblCellSpacing w:w="15" w:type="dxa"/>
        </w:trPr>
        <w:tc>
          <w:tcPr>
            <w:tcW w:w="132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2B50E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功能编号</w:t>
            </w:r>
          </w:p>
        </w:tc>
        <w:tc>
          <w:tcPr>
            <w:tcW w:w="11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99E832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55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8B3BDE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CBA3D4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功能描述与约束限制</w:t>
            </w:r>
          </w:p>
        </w:tc>
      </w:tr>
      <w:tr w14:paraId="15B9F144">
        <w:trPr>
          <w:tblCellSpacing w:w="15" w:type="dxa"/>
        </w:trPr>
        <w:tc>
          <w:tcPr>
            <w:tcW w:w="132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4EA71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COURSE-01</w:t>
            </w:r>
          </w:p>
        </w:tc>
        <w:tc>
          <w:tcPr>
            <w:tcW w:w="11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C749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课程生命周期控制</w:t>
            </w:r>
          </w:p>
        </w:tc>
        <w:tc>
          <w:tcPr>
            <w:tcW w:w="55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76D7D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5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DB97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教师可创建课程，设定其状态（预发布/进行中/完结）及可见性（公开/本校/私密）。支持对学生加入请求的审批流转。</w:t>
            </w:r>
          </w:p>
        </w:tc>
      </w:tr>
      <w:tr w14:paraId="1011F87D">
        <w:trPr>
          <w:tblCellSpacing w:w="15" w:type="dxa"/>
        </w:trPr>
        <w:tc>
          <w:tcPr>
            <w:tcW w:w="132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90218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COURSE-02</w:t>
            </w:r>
          </w:p>
        </w:tc>
        <w:tc>
          <w:tcPr>
            <w:tcW w:w="11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AAFF7F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树状教学大纲编排</w:t>
            </w:r>
          </w:p>
        </w:tc>
        <w:tc>
          <w:tcPr>
            <w:tcW w:w="55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6EC8CE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5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86B126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支持可视化创建无限层级的树状课程目录（章节-子章节）。每个栏目可定义为富文本页、网盘页或 AI 助教页。</w:t>
            </w:r>
          </w:p>
        </w:tc>
      </w:tr>
      <w:tr w14:paraId="6FB339EC">
        <w:trPr>
          <w:tblCellSpacing w:w="15" w:type="dxa"/>
        </w:trPr>
        <w:tc>
          <w:tcPr>
            <w:tcW w:w="132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3677D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COURSE-03</w:t>
            </w:r>
          </w:p>
        </w:tc>
        <w:tc>
          <w:tcPr>
            <w:tcW w:w="11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E638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无限层级网盘管理</w:t>
            </w:r>
          </w:p>
        </w:tc>
        <w:tc>
          <w:tcPr>
            <w:tcW w:w="55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4D41B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5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FF2C4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在存储型栏目下，支持新建文件夹及多层级递归管理。支持通过 Multipart 协议上传教学源文件（PDF、PPT 等）至云端 OSS。</w:t>
            </w:r>
          </w:p>
        </w:tc>
      </w:tr>
      <w:tr w14:paraId="62850720">
        <w:trPr>
          <w:tblCellSpacing w:w="15" w:type="dxa"/>
        </w:trPr>
        <w:tc>
          <w:tcPr>
            <w:tcW w:w="132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AC00DB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COURSE-04</w:t>
            </w:r>
          </w:p>
        </w:tc>
        <w:tc>
          <w:tcPr>
            <w:tcW w:w="11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494632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定制化 AI 引擎配置</w:t>
            </w:r>
          </w:p>
        </w:tc>
        <w:tc>
          <w:tcPr>
            <w:tcW w:w="55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E8244E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5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499C99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教师可针对特定知识单元，独立配置大语言模型（LLM）的系统提示词（System Prompt）及引导欢迎语，强约束 AI 的辅导边界。</w:t>
            </w:r>
          </w:p>
        </w:tc>
      </w:tr>
    </w:tbl>
    <w:p w14:paraId="2AE7EE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2.3 多模态解析与知识构建模块</w:t>
      </w:r>
    </w:p>
    <w:p w14:paraId="5485E87C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本模块为系统的底层基建，负责将教师上传的“死资料”转化为 AI 可理解、可定位的“活数据”。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08"/>
        <w:gridCol w:w="636"/>
        <w:gridCol w:w="5385"/>
      </w:tblGrid>
      <w:tr w14:paraId="258FBE52">
        <w:trPr>
          <w:tblHeader/>
          <w:tblCellSpacing w:w="15" w:type="dxa"/>
        </w:trPr>
        <w:tc>
          <w:tcPr>
            <w:tcW w:w="114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2BC71E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功能编号</w:t>
            </w:r>
          </w:p>
        </w:tc>
        <w:tc>
          <w:tcPr>
            <w:tcW w:w="1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59CAA0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60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98DE75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3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E8C0DF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功能描述与约束限制</w:t>
            </w:r>
          </w:p>
        </w:tc>
      </w:tr>
      <w:tr w14:paraId="6E5AC51A">
        <w:trPr>
          <w:tblCellSpacing w:w="15" w:type="dxa"/>
        </w:trPr>
        <w:tc>
          <w:tcPr>
            <w:tcW w:w="114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57DCC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KG-01</w:t>
            </w:r>
          </w:p>
        </w:tc>
        <w:tc>
          <w:tcPr>
            <w:tcW w:w="1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BD23D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文档版式深度解析</w:t>
            </w:r>
          </w:p>
        </w:tc>
        <w:tc>
          <w:tcPr>
            <w:tcW w:w="60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477D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3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5B953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异步监听文件上传事件，触发 Python 引擎利用 CV 模型识别并提取 PDF/PPT 中的标题、正文、图像等逻辑块。</w:t>
            </w:r>
          </w:p>
        </w:tc>
      </w:tr>
      <w:tr w14:paraId="42C85D0E">
        <w:trPr>
          <w:tblCellSpacing w:w="15" w:type="dxa"/>
        </w:trPr>
        <w:tc>
          <w:tcPr>
            <w:tcW w:w="114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7DBC81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KG-02</w:t>
            </w:r>
          </w:p>
        </w:tc>
        <w:tc>
          <w:tcPr>
            <w:tcW w:w="10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A49BF6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跨端坐标归一化</w:t>
            </w:r>
          </w:p>
        </w:tc>
        <w:tc>
          <w:tcPr>
            <w:tcW w:w="6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C51BEF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3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0D91334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计算被提取文本块在原始页面中的绝对物理边界框，并自动转换为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(0~1)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的归一化浮点坐标，作为“语义锚点”入库。</w:t>
            </w:r>
          </w:p>
        </w:tc>
      </w:tr>
      <w:tr w14:paraId="26CDBB22">
        <w:trPr>
          <w:tblCellSpacing w:w="15" w:type="dxa"/>
        </w:trPr>
        <w:tc>
          <w:tcPr>
            <w:tcW w:w="114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C5565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KG-03</w:t>
            </w:r>
          </w:p>
        </w:tc>
        <w:tc>
          <w:tcPr>
            <w:tcW w:w="10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CAB00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高维向量化与索引</w:t>
            </w:r>
          </w:p>
        </w:tc>
        <w:tc>
          <w:tcPr>
            <w:tcW w:w="6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1032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3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5505D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串联 Embedding 模型，将文本切片转化为高维语义向量，并写入 PostgreSQL (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pgvector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) 构建 HNSW 索引。</w:t>
            </w:r>
          </w:p>
        </w:tc>
      </w:tr>
    </w:tbl>
    <w:p w14:paraId="172D6A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2.4 智能问答与多模态溯源模块</w:t>
      </w:r>
    </w:p>
    <w:p w14:paraId="135515B8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本模块是学生端最核心的交互入口，旨在通过大模型与文档视图的联动，解决复杂理工科概念的答疑痛点。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094"/>
        <w:gridCol w:w="595"/>
        <w:gridCol w:w="5517"/>
      </w:tblGrid>
      <w:tr w14:paraId="3A578132">
        <w:trPr>
          <w:tblHeader/>
          <w:tblCellSpacing w:w="15" w:type="dxa"/>
        </w:trPr>
        <w:tc>
          <w:tcPr>
            <w:tcW w:w="115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4E19DB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功能编号</w:t>
            </w:r>
          </w:p>
        </w:tc>
        <w:tc>
          <w:tcPr>
            <w:tcW w:w="10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8CCCB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5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BD2119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4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1E723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功能描述与约束限制</w:t>
            </w:r>
          </w:p>
        </w:tc>
      </w:tr>
      <w:tr w14:paraId="535BAD4F">
        <w:trPr>
          <w:tblCellSpacing w:w="15" w:type="dxa"/>
        </w:trPr>
        <w:tc>
          <w:tcPr>
            <w:tcW w:w="115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7359C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QA-01</w:t>
            </w:r>
          </w:p>
        </w:tc>
        <w:tc>
          <w:tcPr>
            <w:tcW w:w="10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B14F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双路联合语义检索</w:t>
            </w:r>
          </w:p>
        </w:tc>
        <w:tc>
          <w:tcPr>
            <w:tcW w:w="5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19B58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4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5610A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接收学生提问，并发执行基于向量的语义召回与基于 BM25 的关键词召回，经 Rerank 重排后截取黄金上下文。</w:t>
            </w:r>
          </w:p>
        </w:tc>
      </w:tr>
      <w:tr w14:paraId="10FA087C">
        <w:trPr>
          <w:tblCellSpacing w:w="15" w:type="dxa"/>
        </w:trPr>
        <w:tc>
          <w:tcPr>
            <w:tcW w:w="115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E5FA76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QA-02</w:t>
            </w:r>
          </w:p>
        </w:tc>
        <w:tc>
          <w:tcPr>
            <w:tcW w:w="10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5652EB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启发式会话流转</w:t>
            </w:r>
          </w:p>
        </w:tc>
        <w:tc>
          <w:tcPr>
            <w:tcW w:w="5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178A13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5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FFA441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学生在移动端下半屏与 AI 助教进行多轮自然语言对话。系统需结合对话状态追踪器 (DST) 保持逻辑连贯，并严格遵循教师预设的 Prompt 约束，做到“只启发、不代答”。</w:t>
            </w:r>
          </w:p>
        </w:tc>
      </w:tr>
      <w:tr w14:paraId="04740BCF">
        <w:trPr>
          <w:tblCellSpacing w:w="15" w:type="dxa"/>
        </w:trPr>
        <w:tc>
          <w:tcPr>
            <w:tcW w:w="115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2C181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QA-03</w:t>
            </w:r>
          </w:p>
        </w:tc>
        <w:tc>
          <w:tcPr>
            <w:tcW w:w="10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7600D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双屏联动与高亮跳转</w:t>
            </w:r>
          </w:p>
        </w:tc>
        <w:tc>
          <w:tcPr>
            <w:tcW w:w="5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01E0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5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0A5BE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 回复携带引用锚点标签。学生点击后，上半屏文档查看器瞬间执行“翻页 -&gt; 相对坐标反算 -&gt; 像素级黄色遮罩高亮”的平滑图文对齐动效。</w:t>
            </w:r>
          </w:p>
        </w:tc>
      </w:tr>
    </w:tbl>
    <w:p w14:paraId="5466F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2.5 DSL交互式动态洞察模块</w:t>
      </w:r>
    </w:p>
    <w:p w14:paraId="3BDDB0F5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本模块打破传统静态图文和单向视频的局限，通过云端逻辑编译驱动前端引擎，实现“代码即动画”的极致体验。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095"/>
        <w:gridCol w:w="676"/>
        <w:gridCol w:w="5530"/>
      </w:tblGrid>
      <w:tr w14:paraId="778FA6FD">
        <w:trPr>
          <w:trHeight w:val="668" w:hRule="atLeast"/>
          <w:tblHeader/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51584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功能编号</w:t>
            </w:r>
          </w:p>
        </w:tc>
        <w:tc>
          <w:tcPr>
            <w:tcW w:w="10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1B414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6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33D783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E8166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功能描述与约束限制</w:t>
            </w:r>
          </w:p>
        </w:tc>
      </w:tr>
      <w:tr w14:paraId="491DF952">
        <w:trPr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A6251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DSL-01</w:t>
            </w:r>
          </w:p>
        </w:tc>
        <w:tc>
          <w:tcPr>
            <w:tcW w:w="10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026F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云端意图抽象与下发</w:t>
            </w:r>
          </w:p>
        </w:tc>
        <w:tc>
          <w:tcPr>
            <w:tcW w:w="6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CEF9F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5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EF6F6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大模型推理出算法演进逻辑后，由 Python 状态机将其编译为轻量级 DSL JSON 指令流（包含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INIT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SWAP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等原子动作）下发至移动端。</w:t>
            </w:r>
          </w:p>
        </w:tc>
      </w:tr>
      <w:tr w14:paraId="26F84316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C9FCB3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DSL-02</w:t>
            </w:r>
          </w:p>
        </w:tc>
        <w:tc>
          <w:tcPr>
            <w:tcW w:w="10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ED4059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端侧状态驱动渲染</w:t>
            </w:r>
          </w:p>
        </w:tc>
        <w:tc>
          <w:tcPr>
            <w:tcW w:w="6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2ED7B2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BF180B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移动端 Flutter 解析 DSL 报文，不处理复杂像素计算，仅更新微组件的逻辑状态，利用框架隐式动画引擎完成 60FPS 的丝滑视觉重绘。</w:t>
            </w:r>
          </w:p>
        </w:tc>
      </w:tr>
      <w:tr w14:paraId="694F2F6D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822DD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DSL-03</w:t>
            </w:r>
          </w:p>
        </w:tc>
        <w:tc>
          <w:tcPr>
            <w:tcW w:w="10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56F1B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多维时空交互控制</w:t>
            </w:r>
          </w:p>
        </w:tc>
        <w:tc>
          <w:tcPr>
            <w:tcW w:w="6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ECEC4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80B78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支持学生在动画演示过程中，通过手势拖拽进度条实现“时间回溯”（重置帧状态）；支持修改画布上的辅助变量（如节点数值），触发云端重新推理并下发新指令。</w:t>
            </w:r>
          </w:p>
        </w:tc>
      </w:tr>
    </w:tbl>
    <w:p w14:paraId="3278C53A">
      <w:pPr>
        <w:numPr>
          <w:numId w:val="0"/>
        </w:numPr>
        <w:ind w:left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p w14:paraId="2A3EF681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性能需求</w:t>
      </w:r>
    </w:p>
    <w:p w14:paraId="1D11920C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本系统融合了深度学习推理与高频实时渲染，为保障学生在复杂交互场景下的沉浸式体验，系统在响应延迟、吞吐量及多端适配上确立了严格的性能指标要求。</w:t>
      </w:r>
    </w:p>
    <w:p w14:paraId="602DA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3.1 时间特性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0"/>
        <w:gridCol w:w="1117"/>
        <w:gridCol w:w="5679"/>
      </w:tblGrid>
      <w:tr w14:paraId="67ACAA72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09A99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性能指标维度</w:t>
            </w:r>
          </w:p>
        </w:tc>
        <w:tc>
          <w:tcPr>
            <w:tcW w:w="10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C5B92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目标阈值</w:t>
            </w:r>
          </w:p>
        </w:tc>
        <w:tc>
          <w:tcPr>
            <w:tcW w:w="5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66CFC5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详细说明与约束</w:t>
            </w:r>
          </w:p>
        </w:tc>
      </w:tr>
      <w:tr w14:paraId="36B9A256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83A44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基础接口响应 (API Latency)</w:t>
            </w:r>
          </w:p>
        </w:tc>
        <w:tc>
          <w:tcPr>
            <w:tcW w:w="10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CB90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300 ms</w:t>
            </w:r>
          </w:p>
        </w:tc>
        <w:tc>
          <w:tcPr>
            <w:tcW w:w="5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59C34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常规业务接口（如获取课程列表、鉴权校验、查询大纲）在 P95 水位下的端到端响应时间不超过 300 毫秒。</w:t>
            </w:r>
          </w:p>
        </w:tc>
      </w:tr>
      <w:tr w14:paraId="4D39EE5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584ED2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双路召回耗时 (RAG Retrieval)</w:t>
            </w:r>
          </w:p>
        </w:tc>
        <w:tc>
          <w:tcPr>
            <w:tcW w:w="10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0293A2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800 ms</w:t>
            </w:r>
          </w:p>
        </w:tc>
        <w:tc>
          <w:tcPr>
            <w:tcW w:w="5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4C702B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在百万级向量切片规模下，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pgvector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密集检索与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BM25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稀疏检索的并发双路召回及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Rerank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重排序总耗时需控制在 800 毫秒以内。</w:t>
            </w:r>
          </w:p>
        </w:tc>
      </w:tr>
      <w:tr w14:paraId="1CF92A57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27AE7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首字响应时间 (TTFT)</w:t>
            </w:r>
          </w:p>
        </w:tc>
        <w:tc>
          <w:tcPr>
            <w:tcW w:w="10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61BF6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2.0 s</w:t>
            </w:r>
          </w:p>
        </w:tc>
        <w:tc>
          <w:tcPr>
            <w:tcW w:w="5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723A96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学生提交问题后，系统大模型推理出第一个 Token（首字）并推送到移动端的时间（Time To First Token）不得超过 2 秒，且必须采用 SSE/WebSocket 流式输出。</w:t>
            </w:r>
          </w:p>
        </w:tc>
      </w:tr>
      <w:tr w14:paraId="3C5CC494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165103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图文对齐渲染延迟</w:t>
            </w:r>
          </w:p>
        </w:tc>
        <w:tc>
          <w:tcPr>
            <w:tcW w:w="10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04EFBE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100 ms</w:t>
            </w:r>
          </w:p>
        </w:tc>
        <w:tc>
          <w:tcPr>
            <w:tcW w:w="5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43537B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移动端接收到归一化溯源坐标后，驱动 PDF 渲染引擎进行页面滚动、坐标逆运算及遮罩层重绘的整体视觉延迟需低于 100 毫秒，实现“即点即达”。</w:t>
            </w:r>
          </w:p>
        </w:tc>
      </w:tr>
      <w:tr w14:paraId="6222C558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F800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DSL 动态渲染帧率 (FPS)</w:t>
            </w:r>
          </w:p>
        </w:tc>
        <w:tc>
          <w:tcPr>
            <w:tcW w:w="10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083E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≥ 60 FPS</w:t>
            </w:r>
          </w:p>
          <w:p w14:paraId="69553DF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7F8BA7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(单帧 ≤ 16ms)</w:t>
            </w:r>
          </w:p>
        </w:tc>
        <w:tc>
          <w:tcPr>
            <w:tcW w:w="5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99809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Flutter 端解析 DSL JSON 指令流并驱动组件状态机重绘时，需保证动画的丝滑过渡，严禁出现主线程阻塞，帧率需稳定在 60 FPS（即每帧渲染耗时低于 16 毫秒）。</w:t>
            </w:r>
          </w:p>
        </w:tc>
      </w:tr>
    </w:tbl>
    <w:p w14:paraId="17B38D2F">
      <w:pPr>
        <w:numPr>
          <w:numId w:val="0"/>
        </w:numPr>
        <w:ind w:left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p w14:paraId="25126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3.2 适应性</w:t>
      </w:r>
    </w:p>
    <w:p w14:paraId="092B72F1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系统适应性主要体现在跨端界面的视觉一致性、极弱网环境下的运行鲁棒性，以及应对高并发场景的弹性架构伸缩能力。具体指标与约束如下表所示：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1183"/>
        <w:gridCol w:w="6274"/>
      </w:tblGrid>
      <w:tr w14:paraId="632C1FCB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6AD5E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适应性维度</w:t>
            </w:r>
          </w:p>
        </w:tc>
        <w:tc>
          <w:tcPr>
            <w:tcW w:w="11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8EC55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性能特征</w:t>
            </w:r>
          </w:p>
        </w:tc>
        <w:tc>
          <w:tcPr>
            <w:tcW w:w="62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3FD83C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详细说明与约束指标</w:t>
            </w:r>
          </w:p>
        </w:tc>
      </w:tr>
      <w:tr w14:paraId="517CF4C4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93B9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1. 跨设备与分辨率适应性</w:t>
            </w:r>
          </w:p>
        </w:tc>
        <w:tc>
          <w:tcPr>
            <w:tcW w:w="11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C013F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UI 跨端自适应</w:t>
            </w:r>
          </w:p>
        </w:tc>
        <w:tc>
          <w:tcPr>
            <w:tcW w:w="62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E5D9A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基于 Flutter 引擎，前端需无缝适配 Android、iOS 主流机型及平板设备；针对平板等大屏设备，需自动响应并切换至宽阔的“左右分屏”沉浸式教学视图。</w:t>
            </w:r>
          </w:p>
        </w:tc>
      </w:tr>
      <w:tr w14:paraId="672FA1FB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5572554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1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10A2C6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坐标防偏移机制</w:t>
            </w:r>
          </w:p>
        </w:tc>
        <w:tc>
          <w:tcPr>
            <w:tcW w:w="62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3836DC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强制采用绝对物理坐标向“相对归一化坐标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(0~1)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”的转换换算机制，确保在任何长宽比和分辨率的屏幕上，溯源高亮图层都能精准覆盖目标文本，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视觉对齐误差率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&lt; 1%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AF50338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0CFBA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2. 极弱网环境适应性</w:t>
            </w:r>
          </w:p>
        </w:tc>
        <w:tc>
          <w:tcPr>
            <w:tcW w:w="11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DD74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超低带宽占用</w:t>
            </w:r>
          </w:p>
        </w:tc>
        <w:tc>
          <w:tcPr>
            <w:tcW w:w="62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60C5E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得益于“云端抽象编译 + 端侧状态渲染”架构，动态算法演示的每秒数据传输量（JSON 指令包）需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控制在 2KB 以内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，仅为传统 1080P 视频流带宽占用的万分之一。</w:t>
            </w:r>
          </w:p>
        </w:tc>
      </w:tr>
      <w:tr w14:paraId="73B8F80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6F182B6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1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3D1C77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断连状态补偿</w:t>
            </w:r>
          </w:p>
        </w:tc>
        <w:tc>
          <w:tcPr>
            <w:tcW w:w="62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3439472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在校园网等网络抖动场景下，即便 WebSocket 意外断开，系统需依赖端侧状态机缓存当前的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frame_id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；网络恢复后仅请求缺失的增量 DSL 状态补偿，严禁全量重新拉取。</w:t>
            </w:r>
          </w:p>
        </w:tc>
      </w:tr>
      <w:tr w14:paraId="20A7D87B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673FA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3. 弹性伸缩与并发适应性</w:t>
            </w:r>
          </w:p>
        </w:tc>
        <w:tc>
          <w:tcPr>
            <w:tcW w:w="11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B241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容器化水平扩容</w:t>
            </w:r>
          </w:p>
        </w:tc>
        <w:tc>
          <w:tcPr>
            <w:tcW w:w="62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37BAB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采用“Java 业务栈 + Python 智能栈”双微服务架构。在期末复习等高并发场景下，架构需支持对极度消耗计算资源的 Python 推理节点（含 RAG 与版式分析）进行独立的 Docker 容器水平扩容（Scale-out）。</w:t>
            </w:r>
          </w:p>
        </w:tc>
      </w:tr>
      <w:tr w14:paraId="1B62E370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B3CEBC5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1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E6E468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系统优雅降级</w:t>
            </w:r>
          </w:p>
        </w:tc>
        <w:tc>
          <w:tcPr>
            <w:tcW w:w="62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357F1B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当系统并发量超过承受阈值时自动触发熔断降级：优先保障基础纯文本 QA 交互的低延迟，对非核心的 Rerank 重排序或复杂多模态解析任务进行异步排队或降维处理。</w:t>
            </w:r>
          </w:p>
        </w:tc>
      </w:tr>
    </w:tbl>
    <w:p w14:paraId="3BB0E5E6">
      <w:pPr>
        <w:numPr>
          <w:numId w:val="0"/>
        </w:numPr>
        <w:ind w:left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p w14:paraId="46FCA142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界面需求</w:t>
      </w:r>
    </w:p>
    <w:p w14:paraId="6AB9B775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本系统的界面设计（UI/UX）遵循“沉浸式学习、降噪级呈现、跨设备自适应”的三大核心原则。针对系统中复杂的 AI 交互与多模态展示需求，系统在界面布局与组件交互上设定了严格的标准，具体需求如下：</w:t>
      </w:r>
    </w:p>
    <w:p w14:paraId="78B469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4.1核心视窗与布局需求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068"/>
        <w:gridCol w:w="6233"/>
      </w:tblGrid>
      <w:tr w14:paraId="746EBE00">
        <w:trPr>
          <w:tblHeader/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6B7963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目标端/设备</w:t>
            </w:r>
          </w:p>
        </w:tc>
        <w:tc>
          <w:tcPr>
            <w:tcW w:w="10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32ACE1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布局模式</w:t>
            </w:r>
          </w:p>
        </w:tc>
        <w:tc>
          <w:tcPr>
            <w:tcW w:w="61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DCE4CC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视区划分与交互逻辑限制</w:t>
            </w:r>
          </w:p>
        </w:tc>
      </w:tr>
      <w:tr w14:paraId="7CAC64D8">
        <w:trPr>
          <w:tblCellSpacing w:w="15" w:type="dxa"/>
        </w:trPr>
        <w:tc>
          <w:tcPr>
            <w:tcW w:w="106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566F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学生移动端</w:t>
            </w:r>
          </w:p>
          <w:p w14:paraId="4F004D2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641122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(含平板设备)</w:t>
            </w:r>
          </w:p>
        </w:tc>
        <w:tc>
          <w:tcPr>
            <w:tcW w:w="10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54DA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沉浸式双屏联动</w:t>
            </w:r>
          </w:p>
        </w:tc>
        <w:tc>
          <w:tcPr>
            <w:tcW w:w="61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CB43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1. 上/左屏（视觉呈现区）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：动态挂载“PDF 文档渲染器”或“DSL 动态画布”。支持多点触控（Pinch-to-zoom）无损缩放。</w:t>
            </w:r>
          </w:p>
          <w:p w14:paraId="68BEEAA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0B1476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2. 下/右屏（AI 交互区）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：承载智能助教的自然语言对话流。支持键盘弹出时自适应顶起，严禁遮挡上屏核心区域。</w:t>
            </w:r>
          </w:p>
          <w:p w14:paraId="3EA4E2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6397A2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3. 视窗阻尼调节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：允许用户上下/左右拖拽分割线，自由调节双屏占比。</w:t>
            </w:r>
          </w:p>
        </w:tc>
      </w:tr>
      <w:tr w14:paraId="14ED69D6">
        <w:trPr>
          <w:tblCellSpacing w:w="15" w:type="dxa"/>
        </w:trPr>
        <w:tc>
          <w:tcPr>
            <w:tcW w:w="106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B4A1A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教师 PC 端</w:t>
            </w:r>
          </w:p>
          <w:p w14:paraId="3151B6B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062C03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(Web 工作台)</w:t>
            </w:r>
          </w:p>
        </w:tc>
        <w:tc>
          <w:tcPr>
            <w:tcW w:w="10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81F97E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全景式中后台</w:t>
            </w:r>
          </w:p>
        </w:tc>
        <w:tc>
          <w:tcPr>
            <w:tcW w:w="61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CCC0B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1. 左侧（大纲导航区）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：提供可视化的课程树状目录，支持拖拽排序（Drag &amp; Drop）与多层级折叠。</w:t>
            </w:r>
          </w:p>
          <w:p w14:paraId="771BD78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3D17EC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2. 右侧（核心工作区）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：采用宽屏表单与卡片式布局。网盘模块需提供类似操作系统的文件管理器界面；AI 配置模块需提供宽幅沉浸式文本域。</w:t>
            </w:r>
          </w:p>
        </w:tc>
      </w:tr>
    </w:tbl>
    <w:p w14:paraId="136A3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4.2 核心智能交互组件需求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3240"/>
        <w:gridCol w:w="3653"/>
      </w:tblGrid>
      <w:tr w14:paraId="16FABF66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48AF1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4623B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触发时机与视觉表现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2ECF9E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交互反馈与执行逻辑</w:t>
            </w:r>
          </w:p>
        </w:tc>
      </w:tr>
      <w:tr w14:paraId="77805F2D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6E00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溯源引用锚点</w:t>
            </w:r>
          </w:p>
          <w:p w14:paraId="0645108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79DE76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(Citation Tags)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415D7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AI 在对话流中输出携带引用来源的文本时，渲染为可点击的“胶囊型内联标签”（如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[讲义 P12]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）。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B759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具备按压水波纹反馈（Ripple Effect）。用户点击后，不发生页面跳转，而是触发全局的“图文对齐”联动事件。</w:t>
            </w:r>
          </w:p>
        </w:tc>
      </w:tr>
      <w:tr w14:paraId="5C966770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98FF0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毫秒级对焦遮罩</w:t>
            </w:r>
          </w:p>
          <w:p w14:paraId="00908D0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7C7FDF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(Highlight Overlay)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95D3D2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接收到溯源点击或自动对齐指令时触发。在目标文本的物理坐标上方，覆盖一层半透明（如 Alpha 40% 纯黄）高亮图层。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E2983E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严禁生硬的画面闪跳，必须以平滑滚动（Smooth Scroll）过渡至目标页。渲染时伴随 1.5 秒的“呼吸闪烁动效”以捕获视觉焦点。</w:t>
            </w:r>
          </w:p>
        </w:tc>
      </w:tr>
      <w:tr w14:paraId="554CDD3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B22B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全息时空控制条</w:t>
            </w:r>
          </w:p>
          <w:p w14:paraId="641BA24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6C83DE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(Time-Travel UI)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D2C2A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当上半屏处于“DSL 动态画布”视图时，于界面底部悬浮弹出非侵入式的多媒体控制面板。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F929A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包含播放/暂停、倍速下拉框及帧状态进度条（Slider）。用户拖拽滑块时，画布必须实时逆推或快进重绘对应的历史状态快照。</w:t>
            </w:r>
          </w:p>
        </w:tc>
      </w:tr>
    </w:tbl>
    <w:p w14:paraId="4C05E7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4.3 视觉风格与无障碍需求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7048"/>
      </w:tblGrid>
      <w:tr w14:paraId="201BD964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F1AD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需求维度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EB545C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详细说明与约束</w:t>
            </w:r>
          </w:p>
        </w:tc>
      </w:tr>
      <w:tr w14:paraId="2E117FE7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BA8A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深色模式自适应</w:t>
            </w:r>
          </w:p>
          <w:p w14:paraId="1C55ADF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1D4EA5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(Dark Mode)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2369E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界面需全面监听并适配系统级明暗主题切换。深色模式下，PDF 阅读器需自动降低白光亮度或反转底色；DSL 画布高亮色需切换为低饱和度色系，缓解视觉疲劳。</w:t>
            </w:r>
          </w:p>
        </w:tc>
      </w:tr>
      <w:tr w14:paraId="0674021F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8F78E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状态反馈与防呆</w:t>
            </w:r>
          </w:p>
          <w:p w14:paraId="2E0D35C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6F0234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(Status Feedback)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2D7DC6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在网络抖动或大模型推理等待（TTFT 延迟）期间，AI 对话框需展示平滑的“思考中（Typing...）”骨架屏或流体波浪动画，严禁出现界面假死或无响应状态。</w:t>
            </w:r>
          </w:p>
        </w:tc>
      </w:tr>
      <w:tr w14:paraId="01689400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A9CE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</w:rPr>
              <w:t>手势与防误触</w:t>
            </w:r>
          </w:p>
          <w:p w14:paraId="38B0C82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203912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(Gesture Control)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890F3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针对移动端，需处理画布区“双指缩放/单指滑动”与原生“页面下拉刷新”之间的手势冲突，确保复杂教学场景下的防误触体验。</w:t>
            </w:r>
          </w:p>
        </w:tc>
      </w:tr>
    </w:tbl>
    <w:p w14:paraId="5000F1CC">
      <w:pPr>
        <w:numPr>
          <w:numId w:val="0"/>
        </w:numPr>
        <w:ind w:left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p w14:paraId="681DFFB4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接口需求</w:t>
      </w:r>
    </w:p>
    <w:p w14:paraId="4127F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5.1 硬件接口</w:t>
      </w:r>
    </w:p>
    <w:p w14:paraId="46CC1E5D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移动端（Flutter 客户端）在运行过程中，需合法合规地调用底层设备的硬件资源，以保障动态渲染性能与基础业务功能的正常运转：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3858"/>
        <w:gridCol w:w="3020"/>
      </w:tblGrid>
      <w:tr w14:paraId="2FB928E9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5CECF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硬件类型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2FFECB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调用目的与业务场景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290384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性能约束与调用限制</w:t>
            </w:r>
          </w:p>
        </w:tc>
      </w:tr>
      <w:tr w14:paraId="3E03A049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4A6F4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GPU 图形处理器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214D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支撑 Flutter 底层渲染引擎（Skia / Impeller）处理复杂的 Canvas 绘制指令，为 DSL 动态逻辑动画提供硬件级图形加速。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45487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需确保在高频帧插值运算时优先调度 GPU 资源，避免占用过多 CPU 导致设备发热或主线程阻塞。</w:t>
            </w:r>
          </w:p>
        </w:tc>
      </w:tr>
      <w:tr w14:paraId="7F5AA9B7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30BD9B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物理存储介质</w:t>
            </w:r>
          </w:p>
          <w:p w14:paraId="3E6594C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4E05E4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(ROM/RAM)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56B2B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读写设备本地存储，用于持久化缓存已下载的 PDF 教案资料、离线 Markdown 文本及用户的身份 Token。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468A97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必须严格遵守 Android/iOS 的沙盒存储规范（Scoped Storage），严禁越权扫描用户非应用目录文件。</w:t>
            </w:r>
          </w:p>
        </w:tc>
      </w:tr>
      <w:tr w14:paraId="6C101C55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BAF7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触控与手势传感器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AAC14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采集用户在屏幕上的多点触控（Pinch-to-zoom）与滑动位移数据，驱动前端界面的视窗缩放与动画时间轴拖拽。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FF3CC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要求采样率不低于 60Hz，确保手势识别与画布重绘之间的延迟低于 16ms。</w:t>
            </w:r>
          </w:p>
        </w:tc>
      </w:tr>
      <w:tr w14:paraId="10C18756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E1492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网络适配器</w:t>
            </w:r>
          </w:p>
          <w:p w14:paraId="16496AC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6AF934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(Wi-Fi/基带)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AFA7D1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维持移动端与云端服务器之间的持久化 TCP/WebSocket 连接，接收流式数据包。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C7105E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需监听底层网络状态切换（如从 Wi-Fi 切至 5G），并在弱网环境下自动触发降级与断线重连重传机制。</w:t>
            </w:r>
          </w:p>
        </w:tc>
      </w:tr>
    </w:tbl>
    <w:p w14:paraId="677798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5.2 软件接口</w:t>
      </w:r>
    </w:p>
    <w:p w14:paraId="1211F1C4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软件接口定义了系统内部微服务之间、以及系统与外部第三方云平台之间的数据交换契约，统一采用 HTTPS 协议保障传输安全。</w:t>
      </w:r>
    </w:p>
    <w:p w14:paraId="3D0C2FF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</w:rPr>
      </w:pPr>
      <w:r>
        <w:rPr>
          <w:rFonts w:hint="default" w:ascii="Times New Roman Regular" w:hAnsi="Times New Roman Regular" w:eastAsia="sans-serif" w:cs="Times New Roman Regular"/>
          <w:b/>
          <w:bCs/>
        </w:rPr>
        <w:t>1. 内部通信接口 (Internal APIs)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1637"/>
        <w:gridCol w:w="5657"/>
      </w:tblGrid>
      <w:tr w14:paraId="567D01AC"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17C92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接口分类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0D516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通信协议与数据格式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ADFD4D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交互场景与说明</w:t>
            </w:r>
          </w:p>
        </w:tc>
      </w:tr>
      <w:tr w14:paraId="5F526095"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4A9AA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BFF 网关路由接口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D16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RESTful HTTP/1.1</w:t>
            </w:r>
          </w:p>
          <w:p w14:paraId="75A8EB3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096A3A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请求/响应格式: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8AB45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移动端/Web 端与云端网关的数据交换通道。统一由网关进行 JWT 鉴权剥离与限流防刷拦截，随后将流量路由至下游业务集群。</w:t>
            </w:r>
          </w:p>
        </w:tc>
      </w:tr>
      <w:tr w14:paraId="16AE8D24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13BBC4C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微服务跨栈 RPC 接口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B8EB3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gRPC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 /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HTTP内部调用</w:t>
            </w:r>
          </w:p>
          <w:p w14:paraId="4279567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2691D7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数据格式: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Protobuf/JSON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7461B27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Java 业务服务与 Python 智能计算服务之间的高速通信隧道。如：Java 端接收到学生提问后，通过此接口将上下文和用户信息透传给 Python 端触发 RAG 检索引擎。</w:t>
            </w:r>
          </w:p>
        </w:tc>
      </w:tr>
      <w:tr w14:paraId="2908B58F"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45CC7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流式数据推送接口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7EC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SSE (Server-Sent Events)</w:t>
            </w:r>
          </w:p>
          <w:p w14:paraId="06E7E9F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431099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数据格式: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Text/Stream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5A044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Python 智能层大模型生成回答与 DSL 渲染指令时，利用 SSE 协议向前端发起单向流式推送，实现打字机效果及实时画面渲染。</w:t>
            </w:r>
          </w:p>
        </w:tc>
      </w:tr>
    </w:tbl>
    <w:p w14:paraId="290BE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leftChars="0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32"/>
          <w:lang w:val="en-US" w:eastAsia="zh-CN"/>
        </w:rPr>
        <w:t xml:space="preserve">5.3 </w:t>
      </w:r>
      <w:r>
        <w:rPr>
          <w:rFonts w:hint="default" w:ascii="Times New Roman Regular" w:hAnsi="Times New Roman Regular" w:cs="Times New Roman Regular" w:eastAsiaTheme="minorEastAsia"/>
          <w:b/>
          <w:bCs/>
          <w:sz w:val="24"/>
          <w:szCs w:val="32"/>
          <w:lang w:val="en-US" w:eastAsia="zh-CN"/>
        </w:rPr>
        <w:t>外部云服务接口 (External APIs)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838"/>
        <w:gridCol w:w="5301"/>
      </w:tblGrid>
      <w:tr w14:paraId="1DF6EC54">
        <w:trPr>
          <w:tblHeader/>
          <w:tblCellSpacing w:w="15" w:type="dxa"/>
        </w:trPr>
        <w:tc>
          <w:tcPr>
            <w:tcW w:w="122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8E8F02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接口分类</w:t>
            </w:r>
          </w:p>
        </w:tc>
        <w:tc>
          <w:tcPr>
            <w:tcW w:w="180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0E49BE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接入方式与鉴权标准</w:t>
            </w:r>
          </w:p>
        </w:tc>
        <w:tc>
          <w:tcPr>
            <w:tcW w:w="52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531D50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交互场景与说明</w:t>
            </w:r>
          </w:p>
        </w:tc>
      </w:tr>
      <w:tr w14:paraId="71FAAC35">
        <w:trPr>
          <w:tblCellSpacing w:w="15" w:type="dxa"/>
        </w:trPr>
        <w:tc>
          <w:tcPr>
            <w:tcW w:w="122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762FE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第三方大模型 API</w:t>
            </w:r>
          </w:p>
        </w:tc>
        <w:tc>
          <w:tcPr>
            <w:tcW w:w="180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2F7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厂商标准 HTTP API</w:t>
            </w:r>
          </w:p>
          <w:p w14:paraId="6A8B5E4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253716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鉴权: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Bearer API_KEY</w:t>
            </w:r>
          </w:p>
        </w:tc>
        <w:tc>
          <w:tcPr>
            <w:tcW w:w="52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492B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对接商业/开源大语言模型（如 DeepSeek、通义千问等），发送聚合后的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Prompt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、检索召回的黄金上下文及用户的自然语言提问，获取推理生成的文本与 JSON 意图。</w:t>
            </w:r>
          </w:p>
        </w:tc>
      </w:tr>
      <w:tr w14:paraId="74C70C53">
        <w:trPr>
          <w:tblCellSpacing w:w="15" w:type="dxa"/>
        </w:trPr>
        <w:tc>
          <w:tcPr>
            <w:tcW w:w="122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0A7E4B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对象存储服务 (OSS)</w:t>
            </w:r>
          </w:p>
        </w:tc>
        <w:tc>
          <w:tcPr>
            <w:tcW w:w="18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EF282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厂商官方 SDK (如阿里云/AWS)</w:t>
            </w:r>
          </w:p>
          <w:p w14:paraId="3B42E4C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57036A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鉴权: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STS 临时凭证</w:t>
            </w:r>
          </w:p>
        </w:tc>
        <w:tc>
          <w:tcPr>
            <w:tcW w:w="52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398488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教师上传教案资料或系统读取原始文档时调用。前端通过请求后端获取临时签名的上传/下载直传凭证，避免文件流经过业务服务器导致带宽阻塞。</w:t>
            </w:r>
          </w:p>
        </w:tc>
      </w:tr>
      <w:tr w14:paraId="79AD2233">
        <w:trPr>
          <w:tblCellSpacing w:w="15" w:type="dxa"/>
        </w:trPr>
        <w:tc>
          <w:tcPr>
            <w:tcW w:w="122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9AFE7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向量数据库驱动接口</w:t>
            </w:r>
          </w:p>
        </w:tc>
        <w:tc>
          <w:tcPr>
            <w:tcW w:w="18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9012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JDBC/psycopg2</w:t>
            </w:r>
          </w:p>
          <w:p w14:paraId="473B4D5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355B80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 xml:space="preserve">数据格式: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SQL</w:t>
            </w:r>
          </w:p>
        </w:tc>
        <w:tc>
          <w:tcPr>
            <w:tcW w:w="52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6FFA9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后端服务与 PostgreSQL 数据库交互的核心驱动，通过特定的 SQL 语法（如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&lt;=&gt;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操作符）调用底层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pgvector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扩展插件，执行高维语义向量的余弦相似度计算与召回。</w:t>
            </w:r>
          </w:p>
        </w:tc>
      </w:tr>
    </w:tbl>
    <w:p w14:paraId="623063F9">
      <w:pPr>
        <w:numPr>
          <w:numId w:val="0"/>
        </w:numPr>
        <w:ind w:leftChars="0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p w14:paraId="3F9F9A9F">
      <w:pP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  <w:r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  <w:t>6、其它需求</w:t>
      </w:r>
    </w:p>
    <w:p w14:paraId="662DF368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除上述功能、性能与接口需求外，本系统在安全性、可靠性、可维护性及数据合规性方面，具有以下非功能性需求约束：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1514"/>
        <w:gridCol w:w="5530"/>
      </w:tblGrid>
      <w:tr w14:paraId="5E4C3946">
        <w:trPr>
          <w:tblHeader/>
          <w:tblCellSpacing w:w="15" w:type="dxa"/>
        </w:trPr>
        <w:tc>
          <w:tcPr>
            <w:tcW w:w="13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404F3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需求维度</w:t>
            </w:r>
          </w:p>
        </w:tc>
        <w:tc>
          <w:tcPr>
            <w:tcW w:w="14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D1E89A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核心需求项</w:t>
            </w:r>
          </w:p>
        </w:tc>
        <w:tc>
          <w:tcPr>
            <w:tcW w:w="5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97283A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</w:rPr>
            </w:pPr>
            <w:r>
              <w:rPr>
                <w:rStyle w:val="7"/>
                <w:rFonts w:hint="default" w:ascii="Times New Roman Regular" w:hAnsi="Times New Roman Regular" w:cs="Times New Roman Regular" w:eastAsiaTheme="minorEastAsia"/>
                <w:b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详细说明与技术约束</w:t>
            </w:r>
          </w:p>
        </w:tc>
      </w:tr>
      <w:tr w14:paraId="46ECD02E">
        <w:trPr>
          <w:tblCellSpacing w:w="15" w:type="dxa"/>
        </w:trPr>
        <w:tc>
          <w:tcPr>
            <w:tcW w:w="13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AB2E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1. 安全性需求</w:t>
            </w:r>
          </w:p>
          <w:p w14:paraId="4E7B796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1A7E06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(Security)</w:t>
            </w:r>
          </w:p>
        </w:tc>
        <w:tc>
          <w:tcPr>
            <w:tcW w:w="14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C417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传输与存储加密</w:t>
            </w:r>
          </w:p>
        </w:tc>
        <w:tc>
          <w:tcPr>
            <w:tcW w:w="5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A18F9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系统全链路必须采用 HTTPS/TLS 1.2+ 协议进行加密传输；用户密码等敏感信息必须采用加盐哈希（如 Argon2 或 bcrypt）不可逆算法进行持久化存储。</w:t>
            </w:r>
          </w:p>
        </w:tc>
      </w:tr>
      <w:tr w14:paraId="131BA5B4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C7EF189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84A2A3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大模型安全防范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4EC023F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针对 AI 交互场景，系统必须具备“防 Prompt 逆向注入”机制。后端绝对不可向前端明文暴露教师设定的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system_prompt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，且需对学生的异常提问（如诱导越狱指令）进行前置拦截。</w:t>
            </w:r>
          </w:p>
        </w:tc>
      </w:tr>
      <w:tr w14:paraId="42A51763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62817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C1F4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接口越权防护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8CDB6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所有受限业务接口必须经过 JWT 鉴权校验；必须实现基于角色（RBAC）与资源归属者（如：学生只能查看自己加入的课程）的细粒度越权防护（防止横向与纵向越权）。</w:t>
            </w:r>
          </w:p>
        </w:tc>
      </w:tr>
      <w:tr w14:paraId="1E04011D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2DFB01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2. 可靠性需求</w:t>
            </w:r>
          </w:p>
          <w:p w14:paraId="6144285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7C48B1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(Reliability)</w:t>
            </w: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6C22CD2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微服务故障隔离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176B030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依托 Docker 容器化部署，Java 业务服务与 Python 算法服务需实现物理与逻辑隔离。若 Python 计算节点因算力耗尽宕机，核心业务栈（注册、登录、静态文件查看）需保持可用。</w:t>
            </w:r>
          </w:p>
        </w:tc>
      </w:tr>
      <w:tr w14:paraId="1F15A96F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C39F01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152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云端 API 灾备机制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766BA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针对第三方大模型 API 的调用，系统需具备“多模型轮询备用”与“超时熔断”机制。当主选推理模型（如深浅推理层）不可用时，能在 3 秒内无缝切换至备用模型，保障教学不中断。</w:t>
            </w:r>
          </w:p>
        </w:tc>
      </w:tr>
      <w:tr w14:paraId="4519BA70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05E61E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3. 可维护性需求</w:t>
            </w:r>
          </w:p>
          <w:p w14:paraId="67C59D6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5AC553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(Maintainability)</w:t>
            </w: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5E6AAD9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DSL 协议版本控制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2F84C5E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考虑到渲染指令流后续的持续迭代，云端下发的 DSL JSON 报文必须包含协议版本号（如 </w:t>
            </w:r>
            <w:r>
              <w:rPr>
                <w:rStyle w:val="8"/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"version": "1.0"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）。前端需具备向下兼容解析能力，确保旧版本 App 不会因指令升级而崩溃。</w:t>
            </w:r>
          </w:p>
        </w:tc>
      </w:tr>
      <w:tr w14:paraId="056082D5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EEB36E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7DD6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全链路监控与日志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FF976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核心业务流与 RAG 检索流需接入标准化的日志采集规范。针对大模型生成的错误/幻觉内容，提供统一的 Trace ID 以支持多轮对话上下文的链路追踪与复盘调试。</w:t>
            </w:r>
          </w:p>
        </w:tc>
      </w:tr>
      <w:tr w14:paraId="48C069D4">
        <w:trPr>
          <w:tblCellSpacing w:w="15" w:type="dxa"/>
        </w:trPr>
        <w:tc>
          <w:tcPr>
            <w:tcW w:w="13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2AC00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4. 合规与隐私</w:t>
            </w:r>
          </w:p>
          <w:p w14:paraId="6641304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</w:p>
          <w:p w14:paraId="5F8E74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  <w:t>(Compliance)</w:t>
            </w:r>
          </w:p>
        </w:tc>
        <w:tc>
          <w:tcPr>
            <w:tcW w:w="14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4F3439A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知识产权与隐私保护</w:t>
            </w:r>
          </w:p>
        </w:tc>
        <w:tc>
          <w:tcPr>
            <w:tcW w:w="5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52A4CC9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教师上传的教案资料（PDF/PPT 等）涉及知识产权，必须存储于带权限控制的私有 OSS Bucket 中；学生的问答历史记录在脱敏前，严禁被直接用于公共大语言模型的二次微调训练。</w:t>
            </w:r>
          </w:p>
        </w:tc>
      </w:tr>
    </w:tbl>
    <w:p w14:paraId="52A3B2C4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firstLine="420" w:firstLineChars="0"/>
        <w:jc w:val="left"/>
        <w:rPr>
          <w:rFonts w:hint="default" w:ascii="Times New Roman Regular" w:hAnsi="Times New Roman Regular" w:eastAsia="Heiti SC Medium" w:cs="Times New Roman Regular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Medium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92984"/>
    <w:multiLevelType w:val="singleLevel"/>
    <w:tmpl w:val="AFF9298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BEE44D"/>
    <w:multiLevelType w:val="multilevel"/>
    <w:tmpl w:val="2CBEE44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DE6A4"/>
    <w:rsid w:val="1F3DE6A4"/>
    <w:rsid w:val="2EADC97C"/>
    <w:rsid w:val="3AFDAFBB"/>
    <w:rsid w:val="4EFE4771"/>
    <w:rsid w:val="BF3E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2026-03-20T20:34:00Z</dcterms:created>
  <dc:creator>你真丑</dc:creator>
  <cp:lastModifiedBy>你真丑</cp:lastModifiedBy>
  <dcterms:modified xsi:type="dcterms:W3CDTF">2026-03-20T22:53:13Z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92622480FB762353C33EBD695ED10F6E_41</vt:lpwstr>
  </property>
</Properties>
</file>