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KESTREL COUNTY COUNCIL (FICTIONAL)</w:t>
      </w:r>
    </w:p>
    <w:p>
      <w:r>
        <w:t>Resident Contact Modernisation</w:t>
      </w:r>
    </w:p>
    <w:p>
      <w:r>
        <w:t>REQUEST FOR PROPOSAL</w:t>
      </w:r>
    </w:p>
    <w:p>
      <w:r>
        <w:t>RFP reference: KCC-2027-DIG-007</w:t>
        <w:br/>
        <w:t>Response deadline: 5 February 2027</w:t>
        <w:br/>
        <w:t>Classification: Synthetic demonstration material</w:t>
      </w:r>
    </w:p>
    <w:p>
      <w:pPr>
        <w:pStyle w:val="Heading1"/>
      </w:pPr>
      <w:r>
        <w:t>1. Overview and instructions</w:t>
      </w:r>
    </w:p>
    <w:p>
      <w:r>
        <w:t>Kestrel County Council (fictional) invites qualified suppliers to propose an AI-enabled platform and services for its resident contact modernisation. Answer every mandatory requirement in the workbook. Where a requirement is partially met, state the gap, workaround and commercial implication. Do not include unsupported claims.</w:t>
      </w:r>
    </w:p>
    <w:p>
      <w:pPr>
        <w:pStyle w:val="Heading1"/>
      </w:pPr>
      <w:r>
        <w:t>2. Client context</w:t>
      </w:r>
    </w:p>
    <w:p>
      <w:r>
        <w:t>Kestrel is a fictional English county council serving 600,000 residents. Its contact centre handles council tax, waste, highways and social-care enquiries.</w:t>
      </w:r>
    </w:p>
    <w:p>
      <w:pPr>
        <w:pStyle w:val="Heading1"/>
      </w:pPr>
      <w:r>
        <w:t>3. Additional requirements</w:t>
      </w:r>
    </w:p>
    <w:p>
      <w:r>
        <w:t>The following requirements apply in addition to the workbook exhibits.</w:t>
      </w:r>
    </w:p>
    <w:p>
      <w:pPr>
        <w:pStyle w:val="ListBullet"/>
      </w:pPr>
      <w:r>
        <w:t>Suppliers must comply with the council's accessibility standard (WCAG 2.2 AA) for all resident-facing journeys.</w:t>
      </w:r>
    </w:p>
    <w:p>
      <w:pPr>
        <w:pStyle w:val="ListBullet"/>
      </w:pPr>
      <w:r>
        <w:t>Eligibility decisions must always be taken by a named council officer.</w:t>
      </w:r>
    </w:p>
    <w:p>
      <w:pPr>
        <w:pStyle w:val="Heading1"/>
      </w:pPr>
      <w:r>
        <w:t>4. Commercial instructions</w:t>
      </w:r>
    </w:p>
    <w:p>
      <w:r>
        <w:t>Price the baseline volumes in the workbook. State all assumptions and optional items separately.</w:t>
      </w:r>
    </w:p>
    <w:p>
      <w:pPr>
        <w:pStyle w:val="Heading1"/>
      </w:pPr>
      <w:r>
        <w:t>5. Workbook exhibits</w:t>
      </w:r>
    </w:p>
    <w:p>
      <w:r>
        <w:t>Complete the Requirements and Security Questionnaire tabs of Kestrel_County_Council_RFP_Exhibits.xlsx.</w:t>
      </w:r>
    </w:p>
    <w:p>
      <w:r>
        <w:t>All content in this RFP is synthetic demonstration material and does not represent a real procurement.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