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ГОСУДАРСТВЕННОЕ АВТОНОМНОЕ ПРОФЕССИОНАЛЬНОЕ</w:t>
      </w:r>
    </w:p>
    <w:p>
      <w:pPr>
        <w:ind w:firstLine="0"/>
        <w:jc w:val="center"/>
      </w:pPr>
      <w:r>
        <w:rPr>
          <w:b/>
        </w:rPr>
        <w:t>ОБРАЗОВАТЕЛЬНОЕ УЧРЕЖДЕНИЕ</w:t>
      </w:r>
    </w:p>
    <w:p>
      <w:pPr>
        <w:ind w:firstLine="0"/>
        <w:jc w:val="center"/>
      </w:pPr>
      <w:r>
        <w:rPr>
          <w:b/>
        </w:rPr>
        <w:t>«КАЗАНСКИЙ ЭНЕРГЕТИЧЕСКИЙ КОЛЛЕДЖ»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Дипломный проект</w:t>
      </w:r>
    </w:p>
    <w:p>
      <w:pPr>
        <w:ind w:firstLine="0"/>
        <w:jc w:val="center"/>
      </w:pPr>
      <w:r>
        <w:rPr>
          <w:b/>
        </w:rPr>
        <w:t>Тема: Проект КЭС мощностью 900 МВт</w:t>
      </w:r>
    </w:p>
    <w:p>
      <w:pPr>
        <w:ind w:firstLine="0"/>
        <w:jc w:val="center"/>
      </w:pPr>
      <w:r>
        <w:rPr>
          <w:b w:val="0"/>
        </w:rPr>
        <w:t>с установкой турбин К-300-240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</w:pPr>
      <w:r>
        <w:rPr>
          <w:b/>
        </w:rPr>
        <w:t xml:space="preserve">Студент: </w:t>
      </w:r>
      <w:r>
        <w:t>Шаботич Эрвин, группа 52-02</w:t>
      </w:r>
    </w:p>
    <w:p>
      <w:pPr>
        <w:ind w:firstLine="0"/>
      </w:pPr>
      <w:r>
        <w:rPr>
          <w:b/>
        </w:rPr>
        <w:t xml:space="preserve">Специальность: </w:t>
      </w:r>
      <w:r>
        <w:t>13.02.01 «Тепловые электрические станции»</w:t>
      </w:r>
    </w:p>
    <w:p>
      <w:pPr>
        <w:ind w:firstLine="0"/>
      </w:pPr>
      <w:r>
        <w:rPr>
          <w:b/>
        </w:rPr>
        <w:t xml:space="preserve">Руководитель проекта: </w:t>
      </w:r>
      <w:r>
        <w:t>Гизатуллина Л.Х.</w:t>
      </w:r>
    </w:p>
    <w:p>
      <w:pPr>
        <w:ind w:firstLine="0"/>
      </w:pPr>
      <w:r>
        <w:rPr>
          <w:b/>
        </w:rPr>
        <w:t xml:space="preserve">Консультант: </w:t>
      </w:r>
      <w:r>
        <w:t>Сапегина Н.Н.</w:t>
      </w:r>
    </w:p>
    <w:p>
      <w:pPr>
        <w:ind w:firstLine="0"/>
        <w:jc w:val="center"/>
      </w:pPr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Казань — 2026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1. Описание тепловой схемы блока и компоновки оборудования главного корпуса станции</w:t>
      </w:r>
    </w:p>
    <w:p>
      <w:pPr>
        <w:ind w:firstLine="0"/>
      </w:pPr>
      <w:r>
        <w:t>2. Расчет тепловой схемы блока на заданный режим</w:t>
      </w:r>
    </w:p>
    <w:p>
      <w:pPr>
        <w:ind w:firstLine="0"/>
      </w:pPr>
      <w:r>
        <w:t>3. Выбор оборудования тепловой схемы блока и станции в соответствии с НТП</w:t>
      </w:r>
    </w:p>
    <w:p>
      <w:pPr>
        <w:ind w:firstLine="0"/>
      </w:pPr>
      <w:r>
        <w:t>3.1. Выбор оборудования тепловой схемы блока</w:t>
      </w:r>
    </w:p>
    <w:p>
      <w:pPr>
        <w:ind w:firstLine="0"/>
      </w:pPr>
      <w:r>
        <w:t>3.2. Определение потребностей блока в технической воде, выбор циркуляционных насосов</w:t>
      </w:r>
    </w:p>
    <w:p>
      <w:pPr>
        <w:ind w:firstLine="0"/>
      </w:pPr>
      <w:r>
        <w:t>3.3. Определение часового расхода топлива энергетических и водогрейных котлов</w:t>
      </w:r>
    </w:p>
    <w:p>
      <w:pPr>
        <w:ind w:firstLine="0"/>
      </w:pPr>
      <w:r>
        <w:t>3.4. Выбор оборудования топливного хозяйства станции</w:t>
      </w:r>
    </w:p>
    <w:p>
      <w:pPr>
        <w:ind w:firstLine="0"/>
      </w:pPr>
      <w:r>
        <w:t>3.5. Расчет и выбор тягодутьевого оборудования</w:t>
      </w:r>
    </w:p>
    <w:p>
      <w:pPr>
        <w:ind w:firstLine="0"/>
      </w:pPr>
      <w:r>
        <w:t>3.6. Расчет количества дымовых труб</w:t>
      </w:r>
    </w:p>
    <w:p>
      <w:pPr>
        <w:ind w:firstLine="0"/>
      </w:pPr>
      <w:r>
        <w:t>4.1. Водоподготовка на станции</w:t>
      </w:r>
    </w:p>
    <w:p>
      <w:pPr>
        <w:ind w:firstLine="0"/>
      </w:pPr>
      <w:r>
        <w:t>4.2. Мероприятия по технике безопасности и противопожарной технике безопасности</w:t>
      </w:r>
    </w:p>
    <w:p>
      <w:pPr>
        <w:ind w:firstLine="0"/>
      </w:pPr>
      <w:r>
        <w:t>4.3. Охрана окружающей среды</w:t>
      </w:r>
    </w:p>
    <w:p>
      <w:pPr>
        <w:ind w:firstLine="0"/>
      </w:pPr>
      <w:r>
        <w:t>5. Расчет среднегодовых технико-экономических показателей проектируемой КЭС</w:t>
      </w:r>
    </w:p>
    <w:p>
      <w:pPr>
        <w:ind w:firstLine="0"/>
      </w:pPr>
      <w:r>
        <w:t>6. Ремонт газоплотных и мембранных экранов котлов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источников</w:t>
      </w:r>
    </w:p>
    <w:p>
      <w:pPr>
        <w:ind w:firstLine="0"/>
      </w:pPr>
      <w:r>
        <w:t>Приложения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ВВЕДЕНИЕ</w:t>
      </w:r>
    </w:p>
    <w:p>
      <w:pPr>
        <w:ind w:firstLine="709"/>
        <w:jc w:val="both"/>
      </w:pPr>
      <w:r>
        <w:t>Конденсационные электрические станции остаются ключевым элементом энергосистемы, обеспечивая базовую нагрузку, высокую надежность и устойчивость режимов электроэнергетики. Развитие КЭС позволяет поддерживать энергетическую безопасность регионов, снижать удельные затраты топлива и повышать экологическую приемлемость производства электроэнергии.</w:t>
      </w:r>
    </w:p>
    <w:p>
      <w:pPr>
        <w:ind w:firstLine="709"/>
        <w:jc w:val="both"/>
      </w:pPr>
      <w:r>
        <w:t>Тема выпускной квалификационной работы связана с проектированием КЭС мощностью 900 МВт с установкой трех турбоагрегатов К-300-240. Выбор газо-мазутного топлива обеспечивает гибкость по топливному балансу, возможность работы при разных режимах поставки газа и необходимость резервирования жидким топливом.</w:t>
      </w:r>
    </w:p>
    <w:p>
      <w:pPr>
        <w:ind w:firstLine="709"/>
        <w:jc w:val="both"/>
      </w:pPr>
      <w:r>
        <w:t>Актуальность работы обусловлена потребностью в реконструкции и модернизации существующих генерирующих мощностей, а также в создании энергоблоков с оптимальными технико-экономическими показателями. Проектирование станции с современными параметрами пара и развитой системой регенерации позволяет повысить КПД и снизить удельный расход топлива.</w:t>
      </w:r>
    </w:p>
    <w:p>
      <w:pPr>
        <w:ind w:firstLine="709"/>
        <w:jc w:val="both"/>
      </w:pPr>
      <w:r>
        <w:t>Цель работы — разработать основные проектные решения для КЭС мощностью 900 МВт, выполнить тепловой расчет блока, подобрать основное и вспомогательное оборудование, а также оценить технико-экономические показатели проекта.</w:t>
      </w:r>
    </w:p>
    <w:p>
      <w:pPr>
        <w:ind w:firstLine="709"/>
        <w:jc w:val="both"/>
      </w:pPr>
      <w:r>
        <w:t>Объект исследования — конденсационная электростанция мощностью 900 МВт. Предмет исследования — тепловая схема блока и параметры оборудования, определяющие эффективность работы станции.</w:t>
      </w:r>
    </w:p>
    <w:p>
      <w:pPr>
        <w:ind w:firstLine="709"/>
        <w:jc w:val="both"/>
      </w:pPr>
      <w:r>
        <w:t>Для достижения цели решаются следующие задачи: выбор состава основного оборудования, расчет тепловой схемы и режимов работы турбин, подбор регенеративных подогревателей и насосного оборудования, оценка расхода топлива и технической воды, анализ требований охраны труда и экологии, расчет экономических показателей.</w:t>
      </w:r>
    </w:p>
    <w:p>
      <w:pPr>
        <w:ind w:firstLine="709"/>
        <w:jc w:val="both"/>
      </w:pPr>
      <w:r>
        <w:t>Практическая значимость работы заключается в формировании типовых решений для проектирования КЭС и обосновании параметров оборудования с учетом нормативно-технических требований.</w:t>
      </w:r>
    </w:p>
    <w:p>
      <w:pPr>
        <w:ind w:firstLine="709"/>
        <w:jc w:val="both"/>
      </w:pPr>
      <w:r>
        <w:t>Выпускная квалификационная работа включает пояснительную записку и графическую часть, отражающую тепловую схему блока, специальную часть и экономические показатели.</w:t>
      </w:r>
    </w:p>
    <w:p>
      <w:pPr>
        <w:ind w:firstLine="0"/>
        <w:jc w:val="center"/>
      </w:pPr>
      <w:r>
        <w:rPr>
          <w:b/>
        </w:rPr>
        <w:t>1. ОПИСАНИЕ ТЕПЛОВОЙ СХЕМЫ БЛОКА И КОМПОНОВКИ ОБОРУДОВАНИЯ ГЛАВНОГО КОРПУСА СТАНЦИИ</w:t>
      </w:r>
    </w:p>
    <w:p>
      <w:pPr>
        <w:ind w:firstLine="709"/>
        <w:jc w:val="both"/>
      </w:pPr>
      <w:r>
        <w:t>Проектируемая КЭС состоит из трех однотипных энергоблоков мощностью 300 МВт каждый, оснащенных турбинами К-300-240 с промежуточным перегревом пара. В составе каждого блока предусмотрен паровой котел, турбина, генератор, конденсатор, система регенеративных подогревателей и насосное оборудование.</w:t>
      </w:r>
    </w:p>
    <w:p>
      <w:pPr>
        <w:ind w:firstLine="709"/>
        <w:jc w:val="both"/>
      </w:pPr>
      <w:r>
        <w:t>Тепловая схема блока включает подачу свежего пара параметрами 23,5 МПа и 540 °C в цилиндр высокого давления, последующий отбор пара на регенерацию, промежуточный перегрев и подачу пара в цилиндры среднего и низкого давления. После отработки пар конденсируется в поверхностном конденсаторе и через систему подогрева возвращается в котел.</w:t>
      </w:r>
    </w:p>
    <w:p>
      <w:pPr>
        <w:ind w:firstLine="709"/>
        <w:jc w:val="both"/>
      </w:pPr>
      <w:r>
        <w:t>Регенеративная система состоит из шести подогревателей низкого давления, деаэратора и трех подогревателей высокого давления. Давления в отборах соответствуют заданным значениям, что позволяет обеспечить подогрев питательной воды до 275 °C и снизить тепловые потери цикла.</w:t>
      </w:r>
    </w:p>
    <w:p>
      <w:pPr>
        <w:ind w:firstLine="709"/>
        <w:jc w:val="both"/>
      </w:pPr>
      <w:r>
        <w:t>Система технического водоснабжения — прямоточная. Вода забирается из водоема, проходит через конденсаторы блоков и сбрасывается обратно после нагрева, что обеспечивает высокую эффективность конденсации при достаточных водных ресурсах.</w:t>
      </w:r>
    </w:p>
    <w:p>
      <w:pPr>
        <w:ind w:firstLine="709"/>
        <w:jc w:val="both"/>
      </w:pPr>
      <w:r>
        <w:t>Компоновка главного корпуса предусматривает линейное размещение котлов и турбин с общими подпольными коридорами коммуникаций. Паропроводы свежего пара и промперегрева выполняются с учетом допустимых температурных деформаций и требований безопасности.</w:t>
      </w:r>
    </w:p>
    <w:p>
      <w:pPr>
        <w:ind w:firstLine="0"/>
        <w:jc w:val="left"/>
      </w:pPr>
      <w:r>
        <w:rPr>
          <w:b/>
        </w:rPr>
        <w:t>Исходные данные для расчета</w:t>
      </w:r>
    </w:p>
    <w:p>
      <w:pPr>
        <w:ind w:firstLine="709"/>
        <w:jc w:val="both"/>
      </w:pPr>
      <w:r>
        <w:t>В таблице приведены основные исходные параметры, принятые для расчета тепловой схемы блока.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Значение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Ед. изм.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Установленная мощность станции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900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МВт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Количество турбоагрегатов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3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шт.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Мощность одного турбоагрегата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300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МВт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Параметры свежего пара P₀ / t₀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23.5 / 540.0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МПа / °C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Параметры ПП (вход) P′пп / t′пп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4.0 / 293.0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МПа / °C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Параметры ПП (выход) P″пп / t″пп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3.65 / 540.0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МПа / °C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Питательная вода Pпв / tпв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27.025 / 275.0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МПа / °C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Давление в конденсаторе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0.0034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МПа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КПД цилиндров (ЦВД/ЦСД/ЦНД)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0.89/0.88/0.86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-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Тип системы тех. водоснабжения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прямоточная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-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Вид топлива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газ/мазут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-</w:t>
            </w:r>
          </w:p>
        </w:tc>
      </w:tr>
    </w:tbl>
    <w:p>
      <w:pPr>
        <w:ind w:firstLine="0"/>
        <w:jc w:val="center"/>
      </w:pPr>
      <w:r>
        <w:rPr>
          <w:b/>
        </w:rPr>
        <w:t>2. РАСЧЕТ ТЕПЛОВОЙ СХЕМЫ БЛОКА НА ЗАДАННЫЙ РЕЖИМ</w:t>
      </w:r>
    </w:p>
    <w:p>
      <w:pPr>
        <w:ind w:firstLine="709"/>
        <w:jc w:val="both"/>
      </w:pPr>
      <w:r>
        <w:t>Расчет тепловой схемы выполнен для двух режимов работы турбины: номинального (100 % нагрузки) и частичного (80 % нагрузки). Такой подход позволяет оценить изменение расхода пара, тепловых нагрузок и экономичности блока при снижении мощности.</w:t>
      </w:r>
    </w:p>
    <w:p>
      <w:pPr>
        <w:ind w:firstLine="709"/>
        <w:jc w:val="both"/>
      </w:pPr>
      <w:r>
        <w:t>Расходы пара через отборы и промперегреватель определялись на основе заданных параметров и пропорционально мощности блока. Тепловая мощность котла рассчитана по энтальпийным разностям свежего пара и питательной воды, а также по теплоте промежуточного перегрева.</w:t>
      </w:r>
    </w:p>
    <w:p>
      <w:pPr>
        <w:ind w:firstLine="709"/>
        <w:jc w:val="both"/>
      </w:pPr>
      <w:r>
        <w:t>Внутренний КПД цикла и удельная работа турбины определены по балансу мощности, с учетом механического КПД и КПД генератора.</w:t>
      </w:r>
    </w:p>
    <w:p>
      <w:pPr>
        <w:ind w:firstLine="0"/>
        <w:jc w:val="left"/>
      </w:pPr>
      <w:r>
        <w:rPr>
          <w:b/>
        </w:rPr>
        <w:t>Сводные результаты теплового расчета</w:t>
      </w:r>
    </w:p>
    <w:p>
      <w:pPr>
        <w:ind w:firstLine="709"/>
        <w:jc w:val="both"/>
      </w:pPr>
      <w:r>
        <w:t>Ключевые результаты расчета для двух режимов приведены в таблице.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100 % нагрузки</w:t>
            </w:r>
          </w:p>
        </w:tc>
        <w:tc>
          <w:tcPr>
            <w:tcW w:type="dxa" w:w="3513"/>
          </w:tcPr>
          <w:p>
            <w:pPr>
              <w:jc w:val="center"/>
            </w:pPr>
            <w:r>
              <w:rPr>
                <w:b/>
              </w:rPr>
              <w:t>80 % нагрузки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Начальный расход пара D₀, т/ч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940.0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752.0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Расход через промперегреватель, т/ч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780.0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624.0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Расход в конденсатор, т/ч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487.4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389.9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Тепловая мощность котла, МВт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695.96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556.76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Расход топлива (тепловой), МВт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756.47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605.18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Внутренний КПД цикла, %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43.11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43.11</w:t>
            </w:r>
          </w:p>
        </w:tc>
      </w:tr>
      <w:tr>
        <w:tc>
          <w:tcPr>
            <w:tcW w:type="dxa" w:w="3513"/>
          </w:tcPr>
          <w:p>
            <w:pPr>
              <w:ind w:firstLine="0"/>
              <w:jc w:val="left"/>
            </w:pPr>
            <w:r>
              <w:t>Удельная работа турбины, кДж/кг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1190.2</w:t>
            </w:r>
          </w:p>
        </w:tc>
        <w:tc>
          <w:tcPr>
            <w:tcW w:type="dxa" w:w="3513"/>
          </w:tcPr>
          <w:p>
            <w:pPr>
              <w:ind w:firstLine="0"/>
              <w:jc w:val="center"/>
            </w:pPr>
            <w:r>
              <w:t>1190.2</w:t>
            </w:r>
          </w:p>
        </w:tc>
      </w:tr>
    </w:tbl>
    <w:p>
      <w:pPr>
        <w:ind w:firstLine="0"/>
        <w:jc w:val="center"/>
      </w:pPr>
      <w:r>
        <w:rPr>
          <w:b/>
        </w:rPr>
        <w:t>3. ВЫБОР ОБОРУДОВАНИЯ ТЕПЛОВОЙ СХЕМЫ БЛОКА И СТАНЦИИ В СООТВЕТСТВИИ С НТП</w:t>
      </w:r>
    </w:p>
    <w:p>
      <w:pPr>
        <w:ind w:firstLine="709"/>
        <w:jc w:val="both"/>
      </w:pPr>
      <w:r>
        <w:t>Выбор оборудования выполнен на основе результатов теплового расчета, заданных параметров пара и требований нормативно-технической документации. Для каждого узла выбраны типовые решения, обеспечивающие надежность работы и соответствие режимам нагрузки.</w:t>
      </w:r>
    </w:p>
    <w:p>
      <w:pPr>
        <w:ind w:firstLine="0"/>
        <w:jc w:val="left"/>
      </w:pPr>
      <w:r>
        <w:rPr>
          <w:b/>
        </w:rPr>
        <w:t>3.1. Выбор оборудования тепловой схемы блока</w:t>
      </w:r>
    </w:p>
    <w:p>
      <w:pPr>
        <w:ind w:firstLine="709"/>
        <w:jc w:val="both"/>
      </w:pPr>
      <w:r>
        <w:t>Регенеративные подогреватели приняты шестиступенчатыми по низкому давлению и трехступенчатыми по высокому давлению с деаэратором давления 1,03 МПа. Такая схема обеспечивает нагрев питательной воды до 275 °C, снижает тепловые потери и повышает КПД цикла.</w:t>
      </w:r>
    </w:p>
    <w:p>
      <w:pPr>
        <w:ind w:firstLine="709"/>
        <w:jc w:val="both"/>
      </w:pPr>
      <w:r>
        <w:t>Питательная установка включает два рабочих и один резервный питательный насос с приводом от электродвигателя, рассчитанные на подачу воды с давлением 27,0 МПа. В состав конденсатной установки входят насосы конденсата, сетевая деаэраторная колонна и конденсатоочистка.</w:t>
      </w:r>
    </w:p>
    <w:p>
      <w:pPr>
        <w:ind w:firstLine="709"/>
        <w:jc w:val="both"/>
      </w:pPr>
      <w:r>
        <w:t>Для надежной работы турбины предусмотрены редукционно-охладительные установки (БРОУ) для пуска и поддержания давления, а также теплофикационная установка на базе подогревателей сетевой воды, использующая пар от отбора ЦСД.</w:t>
      </w:r>
    </w:p>
    <w:p>
      <w:pPr>
        <w:ind w:firstLine="0"/>
        <w:jc w:val="left"/>
      </w:pPr>
      <w:r>
        <w:rPr>
          <w:b/>
        </w:rPr>
        <w:t>3.2. Определение потребностей блока в технической воде, выбор циркуляционных насосов</w:t>
      </w:r>
    </w:p>
    <w:p>
      <w:pPr>
        <w:ind w:firstLine="709"/>
        <w:jc w:val="both"/>
      </w:pPr>
      <w:r>
        <w:t>Тепловая нагрузка конденсатора определяется по доле тепла, не превращенной в электрическую энергию. Для номинального режима расчетная тепловая мощность, подлежащая отводу, составляет порядка 1369.4 МВт для трех блоков.</w:t>
      </w:r>
    </w:p>
    <w:p>
      <w:pPr>
        <w:ind w:firstLine="709"/>
        <w:jc w:val="both"/>
      </w:pPr>
      <w:r>
        <w:t>При допустимом подогреве охлаждающей воды на Δt = 10 °C расчетный расход технической воды равен 117659 м³/ч. Для обеспечения такого расхода принимаются циркуляционные насосы с резервированием по схеме 2+1 на блок.</w:t>
      </w:r>
    </w:p>
    <w:p>
      <w:pPr>
        <w:ind w:firstLine="0"/>
        <w:jc w:val="left"/>
      </w:pPr>
      <w:r>
        <w:rPr>
          <w:b/>
        </w:rPr>
        <w:t>3.3. Определение часового расхода топлива энергетических и водогрейных котлов</w:t>
      </w:r>
    </w:p>
    <w:p>
      <w:pPr>
        <w:ind w:firstLine="709"/>
        <w:jc w:val="both"/>
      </w:pPr>
      <w:r>
        <w:t>Часовой расход топлива рассчитан по тепловой нагрузке котла. Для номинального режима расход мазута составляет 205.27 т/ч на станцию, расход природного газа — 243.88 тыс. м³/ч. В пересчете на условное топливо расход равен 278.84 т/ч.</w:t>
      </w:r>
    </w:p>
    <w:p>
      <w:pPr>
        <w:ind w:firstLine="709"/>
        <w:jc w:val="both"/>
      </w:pPr>
      <w:r>
        <w:t>Для водогрейных котлов при работе на собственные нужды станции принимается резервирование топлива и расчет по максимальной тепловой нагрузке отопительного сезона.</w:t>
      </w:r>
    </w:p>
    <w:p>
      <w:pPr>
        <w:ind w:firstLine="0"/>
        <w:jc w:val="left"/>
      </w:pPr>
      <w:r>
        <w:rPr>
          <w:b/>
        </w:rPr>
        <w:t>3.4. Выбор оборудования топливного хозяйства станции</w:t>
      </w:r>
    </w:p>
    <w:p>
      <w:pPr>
        <w:ind w:firstLine="709"/>
        <w:jc w:val="both"/>
      </w:pPr>
      <w:r>
        <w:t>Топливное хозяйство включает газораспределительную станцию с узлом учета, фильтрации и редуцирования давления, а также мазутное хозяйство с резервуарным парком, системами подогрева, перекачки и слива. Емкость резервуаров мазута принята исходя из нормативного запаса не менее 10 суток работы станции при среднесуточной нагрузке.</w:t>
      </w:r>
    </w:p>
    <w:p>
      <w:pPr>
        <w:ind w:firstLine="709"/>
        <w:jc w:val="both"/>
      </w:pPr>
      <w:r>
        <w:t>Для подготовки мазута предусмотрены подогреватели, фильтры грубой и тонкой очистки, насосы перекачки и аварийный резервный насос.</w:t>
      </w:r>
    </w:p>
    <w:p>
      <w:pPr>
        <w:ind w:firstLine="0"/>
        <w:jc w:val="left"/>
      </w:pPr>
      <w:r>
        <w:rPr>
          <w:b/>
        </w:rPr>
        <w:t>3.5. Расчет и выбор тягодутьевого оборудования</w:t>
      </w:r>
    </w:p>
    <w:p>
      <w:pPr>
        <w:ind w:firstLine="709"/>
        <w:jc w:val="both"/>
      </w:pPr>
      <w:r>
        <w:t>Для котельных агрегатов приняты тягодутьевые машины раздельного типа: дутьевые вентиляторы и дымососы. Расчет выполнен по суммарному расходу воздуха на сжигание и сопротивлению газового тракта. Количество вентиляторов выбрано с резервированием по схеме 2×100 % на каждый котел.</w:t>
      </w:r>
    </w:p>
    <w:p>
      <w:pPr>
        <w:ind w:firstLine="709"/>
        <w:jc w:val="both"/>
      </w:pPr>
      <w:r>
        <w:t>Системы автоматического регулирования обеспечивают поддержание разрежения в топке и оптимального коэффициента избытка воздуха, что способствует экономичности и снижению выбросов.</w:t>
      </w:r>
    </w:p>
    <w:p>
      <w:pPr>
        <w:ind w:firstLine="0"/>
        <w:jc w:val="left"/>
      </w:pPr>
      <w:r>
        <w:rPr>
          <w:b/>
        </w:rPr>
        <w:t>3.6. Расчет количества дымовых труб</w:t>
      </w:r>
    </w:p>
    <w:p>
      <w:pPr>
        <w:ind w:firstLine="709"/>
        <w:jc w:val="both"/>
      </w:pPr>
      <w:r>
        <w:t>С учетом трех котельных агрегатов принято размещение двух дымовых труб высотой 180 м каждая. Такая схема обеспечивает требуемое рассеивание выбросов, соответствует санитарным нормам и обеспечивает резервирование по пропускной способности газового тракта.</w:t>
      </w:r>
    </w:p>
    <w:p>
      <w:pPr>
        <w:ind w:firstLine="0"/>
        <w:jc w:val="center"/>
      </w:pPr>
      <w:r>
        <w:rPr>
          <w:b/>
        </w:rPr>
        <w:t>4.1. ВОДОПОДГОТОВКА НА СТАНЦИИ</w:t>
      </w:r>
    </w:p>
    <w:p>
      <w:pPr>
        <w:ind w:firstLine="709"/>
        <w:jc w:val="both"/>
      </w:pPr>
      <w:r>
        <w:t>Водоподготовка направлена на обеспечение химической чистоты питательной воды и пара, предотвращение коррозии и образования отложений. Проектом предусмотрена установка ХВО с ионообменными фильтрами, установками обратного осмоса и смешанными фильтрами доочистки.</w:t>
      </w:r>
    </w:p>
    <w:p>
      <w:pPr>
        <w:ind w:firstLine="709"/>
        <w:jc w:val="both"/>
      </w:pPr>
      <w:r>
        <w:t>Качество воды поддерживается в соответствии с ПТЭ и отраслевыми стандартами. Периодически выполняется химический контроль, корректируется водно-химический режим и проводится продувка котла.</w:t>
      </w:r>
    </w:p>
    <w:p>
      <w:pPr>
        <w:ind w:firstLine="0"/>
        <w:jc w:val="center"/>
      </w:pPr>
      <w:r>
        <w:rPr>
          <w:b/>
        </w:rPr>
        <w:t>4.2. МЕРОПРИЯТИЯ ПО ТЕХНИКЕ БЕЗОПАСНОСТИ И ПРОТИВОПОЖАРНОЙ ТЕХНИКЕ БЕЗОПАСНОСТИ</w:t>
      </w:r>
    </w:p>
    <w:p>
      <w:pPr>
        <w:ind w:firstLine="709"/>
        <w:jc w:val="both"/>
      </w:pPr>
      <w:r>
        <w:t>При эксплуатации оборудования станции соблюдаются требования охраны труда и промышленной безопасности. Опасные зоны ограждаются, устанавливаются предупредительные знаки и обеспечивается доступ обслуживающего персонала к средствам индивидуальной защиты.</w:t>
      </w:r>
    </w:p>
    <w:p>
      <w:pPr>
        <w:ind w:firstLine="709"/>
        <w:jc w:val="both"/>
      </w:pPr>
      <w:r>
        <w:t>На станции предусмотрены автоматические системы обнаружения пожара, противопожарное водоснабжение, стационарные установки пожаротушения в мазутном хозяйстве и кабельных помещениях. Разработаны инструкции по пожарной безопасности и планы эвакуации.</w:t>
      </w:r>
    </w:p>
    <w:p>
      <w:pPr>
        <w:ind w:firstLine="0"/>
        <w:jc w:val="center"/>
      </w:pPr>
      <w:r>
        <w:rPr>
          <w:b/>
        </w:rPr>
        <w:t>4.3. ОХРАНА ОКРУЖАЮЩЕЙ СРЕДЫ</w:t>
      </w:r>
    </w:p>
    <w:p>
      <w:pPr>
        <w:ind w:firstLine="709"/>
        <w:jc w:val="both"/>
      </w:pPr>
      <w:r>
        <w:t>Для снижения воздействия на окружающую среду принимаются меры по сокращению выбросов оксидов азота и серы, а также по предотвращению загрязнения водоемов. Использование газа в качестве основного топлива снижает выбросы SO₂ и золы.</w:t>
      </w:r>
    </w:p>
    <w:p>
      <w:pPr>
        <w:ind w:firstLine="709"/>
        <w:jc w:val="both"/>
      </w:pPr>
      <w:r>
        <w:t>Предусмотрена организация контроля выбросов, очистка сточных вод и постоянный мониторинг состояния атмосферного воздуха и водных объектов в зоне влияния станции.</w:t>
      </w:r>
    </w:p>
    <w:p>
      <w:pPr>
        <w:ind w:firstLine="0"/>
        <w:jc w:val="center"/>
      </w:pPr>
      <w:r>
        <w:rPr>
          <w:b/>
        </w:rPr>
        <w:t>5. РАСЧЕТ СРЕДНЕГОДОВЫХ ТЕХНИКО-ЭКОНОМИЧЕСКИХ ПОКАЗАТЕЛЕЙ ПРОЕКТИРУЕМОЙ КЭС МОЩНОСТЬЮ 900 МВт</w:t>
      </w:r>
    </w:p>
    <w:p>
      <w:pPr>
        <w:ind w:firstLine="709"/>
        <w:jc w:val="both"/>
      </w:pPr>
      <w:r>
        <w:t>Технико-экономические показатели рассчитаны для годового числа часов использования мощности 6500 ч/год. Расчеты выполнены для номинального режима работы оборудования.</w:t>
      </w:r>
    </w:p>
    <w:p>
      <w:pPr>
        <w:ind w:firstLine="0"/>
        <w:jc w:val="left"/>
      </w:pPr>
      <w:r>
        <w:rPr>
          <w:b/>
        </w:rPr>
        <w:t>Сводная таблица технико-экономических показателей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5269"/>
          </w:tcPr>
          <w:p>
            <w:pPr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type="dxa" w:w="5269"/>
          </w:tcPr>
          <w:p>
            <w:pPr>
              <w:jc w:val="center"/>
            </w:pP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Установленная мощность, МВт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900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Нетто-мощность станции, МВт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846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КПД электрический брутто, %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39.66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КПД электрический нетто, %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37.28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Удельный расход теплоты (брутто), кДж/кВт·ч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9077.7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Удельный расход теплоты (нетто), кДж/кВт·ч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9657.1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Уд. расход у.т. (брутто), г у.т./кВт·ч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309.8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Уд. расход у.т. (нетто), г у.т./кВт·ч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329.6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Выработка электроэнергии нетто, ТВт·ч/год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5.499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Годовой расход мазута, млн т/год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1.3343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Годовой расход природного газа, млн м³/год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1585.21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Годовой расход условного топлива, млн т у.т./год</w:t>
            </w:r>
          </w:p>
        </w:tc>
        <w:tc>
          <w:tcPr>
            <w:tcW w:type="dxa" w:w="5269"/>
          </w:tcPr>
          <w:p>
            <w:pPr>
              <w:ind w:firstLine="0"/>
              <w:jc w:val="center"/>
            </w:pPr>
            <w:r>
              <w:t>1.8124</w:t>
            </w:r>
          </w:p>
        </w:tc>
      </w:tr>
    </w:tbl>
    <w:p>
      <w:pPr>
        <w:ind w:firstLine="0"/>
        <w:jc w:val="center"/>
      </w:pPr>
      <w:r>
        <w:rPr>
          <w:b/>
        </w:rPr>
        <w:t>6. РЕМОНТ ГАЗОПЛОТНЫХ И МЕМБРАННЫХ ЭКРАНОВ КОТЛОВ</w:t>
      </w:r>
    </w:p>
    <w:p>
      <w:pPr>
        <w:ind w:firstLine="709"/>
        <w:jc w:val="both"/>
      </w:pPr>
      <w:r>
        <w:t>Газоплотные и мембранные экраны котлов обеспечивают герметичность топочной камеры и служат элементом теплопередачи. Наиболее характерные повреждения связаны с коррозией, перегревом, эрозией и возникновением трещин в сварных швах.</w:t>
      </w:r>
    </w:p>
    <w:p>
      <w:pPr>
        <w:ind w:firstLine="709"/>
        <w:jc w:val="both"/>
      </w:pPr>
      <w:r>
        <w:t>Ремонт включает техническое диагностирование, дефектоскопию, замену поврежденных труб и восстановление мембранных вставок. Перед ремонтом выполняется очистка поверхностей, разметка и вырезка дефектных участков. Сварка ведется аттестованными сварщиками с применением технологий дуговой и аргонодуговой сварки.</w:t>
      </w:r>
    </w:p>
    <w:p>
      <w:pPr>
        <w:ind w:firstLine="709"/>
        <w:jc w:val="both"/>
      </w:pPr>
      <w:r>
        <w:t>После восстановления выполняются контроль качества сварных соединений (визуальный, ультразвуковой и капиллярный контроль), гидравлические испытания и оформление документации о ремонте. Важным этапом является соблюдение технологии термообработки для снятия напряжений.</w:t>
      </w:r>
    </w:p>
    <w:p>
      <w:pPr>
        <w:ind w:firstLine="0"/>
        <w:jc w:val="center"/>
      </w:pPr>
      <w:r>
        <w:rPr>
          <w:b/>
        </w:rPr>
        <w:t>ЗАКЛЮЧЕНИЕ</w:t>
      </w:r>
    </w:p>
    <w:p>
      <w:pPr>
        <w:ind w:firstLine="709"/>
        <w:jc w:val="both"/>
      </w:pPr>
      <w:r>
        <w:t>Выполнен проект КЭС мощностью 900 МВт с установкой трех турбоагрегатов К-300-240. Определены основные параметры тепловой схемы, выполнен тепловой расчет для номинального и частичного режимов работы, подобраны основные и вспомогательные элементы оборудования.</w:t>
      </w:r>
    </w:p>
    <w:p>
      <w:pPr>
        <w:ind w:firstLine="709"/>
        <w:jc w:val="both"/>
      </w:pPr>
      <w:r>
        <w:t>Расчеты показали, что электрический КПД брутто составляет около 39,7 %, а нетто — 37,3 %. Определены годовые показатели выработки электроэнергии и расхода топлива, подтверждающие экономическую целесообразность выбранных решений.</w:t>
      </w:r>
    </w:p>
    <w:p>
      <w:pPr>
        <w:ind w:firstLine="709"/>
        <w:jc w:val="both"/>
      </w:pPr>
      <w:r>
        <w:t>В работе рассмотрены вопросы водоподготовки, безопасности труда и охраны окружающей среды, а также выполнена специальная часть по ремонту газоплотных и мембранных экранов котлов. Полученные результаты могут быть использованы при разработке проектной документации и учебных целей.</w:t>
      </w:r>
    </w:p>
    <w:p>
      <w:pPr>
        <w:ind w:firstLine="0"/>
        <w:jc w:val="center"/>
      </w:pPr>
      <w:r>
        <w:rPr>
          <w:b/>
        </w:rPr>
        <w:t>СПИСОК ИСТОЧНИКОВ</w:t>
      </w:r>
    </w:p>
    <w:p>
      <w:pPr>
        <w:ind w:firstLine="709"/>
      </w:pPr>
      <w:r>
        <w:t>Федеральный закон №35-ФЗ «Об электроэнергетике» (в ред. 2024 г.).</w:t>
      </w:r>
    </w:p>
    <w:p>
      <w:pPr>
        <w:ind w:firstLine="709"/>
      </w:pPr>
      <w:r>
        <w:t>Федеральный закон №7-ФЗ «Об охране окружающей среды».</w:t>
      </w:r>
    </w:p>
    <w:p>
      <w:pPr>
        <w:ind w:firstLine="709"/>
      </w:pPr>
      <w:r>
        <w:t>Указ Президента РФ №889 «О мерах по повышению энергетической эффективности».</w:t>
      </w:r>
    </w:p>
    <w:p>
      <w:pPr>
        <w:ind w:firstLine="709"/>
      </w:pPr>
      <w:r>
        <w:t>Постановление Правительства РФ №87 «О составе разделов проектной документации».</w:t>
      </w:r>
    </w:p>
    <w:p>
      <w:pPr>
        <w:ind w:firstLine="709"/>
      </w:pPr>
      <w:r>
        <w:t>Правила технической эксплуатации электрических станций и сетей РФ.</w:t>
      </w:r>
    </w:p>
    <w:p>
      <w:pPr>
        <w:ind w:firstLine="709"/>
      </w:pPr>
      <w:r>
        <w:t>Правила устройства и безопасной эксплуатации паровых и водогрейных котлов (ПБ 10-574-03).</w:t>
      </w:r>
    </w:p>
    <w:p>
      <w:pPr>
        <w:ind w:firstLine="709"/>
      </w:pPr>
      <w:r>
        <w:t>НП-089-15. Требования к системам водоподготовки энергетических объектов.</w:t>
      </w:r>
    </w:p>
    <w:p>
      <w:pPr>
        <w:ind w:firstLine="709"/>
      </w:pPr>
      <w:r>
        <w:t>СанПиН 2.2.4/2.1.8.562-96. Шум на рабочих местах.</w:t>
      </w:r>
    </w:p>
    <w:p>
      <w:pPr>
        <w:ind w:firstLine="709"/>
      </w:pPr>
      <w:r>
        <w:t>ГОСТ 12.1.003-83. Шум. Общие требования безопасности.</w:t>
      </w:r>
    </w:p>
    <w:p>
      <w:pPr>
        <w:ind w:firstLine="709"/>
      </w:pPr>
      <w:r>
        <w:t>ГОСТ 12.1.005-88. Общие санитарно-гигиенические требования к воздуху рабочей зоны.</w:t>
      </w:r>
    </w:p>
    <w:p>
      <w:pPr>
        <w:ind w:firstLine="709"/>
      </w:pPr>
      <w:r>
        <w:t>ГОСТ 17.2.3.02-2014. Охрана природы. Атмосфера. Нормы выбросов.</w:t>
      </w:r>
    </w:p>
    <w:p>
      <w:pPr>
        <w:ind w:firstLine="709"/>
      </w:pPr>
      <w:r>
        <w:t>РД 34.20.501-95. Правила технической эксплуатации электрических станций.</w:t>
      </w:r>
    </w:p>
    <w:p>
      <w:pPr>
        <w:ind w:firstLine="709"/>
      </w:pPr>
      <w:r>
        <w:t>НТП ТЭС 34-94. Нормы технологического проектирования тепловых электрических станций.</w:t>
      </w:r>
    </w:p>
    <w:p>
      <w:pPr>
        <w:ind w:firstLine="709"/>
      </w:pPr>
      <w:r>
        <w:t>Кацнельсон Б.Л. Тепловые электрические станции. — М.: Энергоатомиздат, 2019.</w:t>
      </w:r>
    </w:p>
    <w:p>
      <w:pPr>
        <w:ind w:firstLine="709"/>
      </w:pPr>
      <w:r>
        <w:t>Кузнецов Н.И. Паровые турбины. — М.: МЭИ, 2020.</w:t>
      </w:r>
    </w:p>
    <w:p>
      <w:pPr>
        <w:ind w:firstLine="709"/>
      </w:pPr>
      <w:r>
        <w:t>Костюк А.Г. Котельные установки. — СПб.: Лань, 2018.</w:t>
      </w:r>
    </w:p>
    <w:p>
      <w:pPr>
        <w:ind w:firstLine="709"/>
      </w:pPr>
      <w:r>
        <w:t>Байков В.И. Тепломеханическое оборудование ТЭС. — М.: Изд-во МЭИ, 2017.</w:t>
      </w:r>
    </w:p>
    <w:p>
      <w:pPr>
        <w:ind w:firstLine="709"/>
      </w:pPr>
      <w:r>
        <w:t>Лебедев П.А. Экономика электроэнергетики. — М.: Юрайт, 2021.</w:t>
      </w:r>
    </w:p>
    <w:p>
      <w:pPr>
        <w:ind w:firstLine="709"/>
      </w:pPr>
      <w:r>
        <w:t>International Energy Agency. World Energy Outlook 2023.</w:t>
      </w:r>
    </w:p>
    <w:p>
      <w:pPr>
        <w:ind w:firstLine="709"/>
      </w:pPr>
      <w:r>
        <w:t>Siemens Energy. Steam Turbines Portfolio, 2022.</w:t>
      </w:r>
    </w:p>
    <w:p>
      <w:pPr>
        <w:ind w:firstLine="709"/>
      </w:pPr>
      <w:r>
        <w:t>https://www.rosseti.ru (дата обращения: 01.05.2026).</w:t>
      </w:r>
    </w:p>
    <w:p>
      <w:pPr>
        <w:ind w:firstLine="709"/>
      </w:pPr>
      <w:r>
        <w:t>https://www.minenergo.gov.ru (дата обращения: 01.05.2026).</w:t>
      </w:r>
    </w:p>
    <w:p>
      <w:pPr>
        <w:ind w:firstLine="0"/>
        <w:jc w:val="center"/>
      </w:pPr>
      <w:r>
        <w:rPr>
          <w:b/>
        </w:rPr>
        <w:t>ПРИЛОЖЕНИЯ</w:t>
      </w:r>
    </w:p>
    <w:p>
      <w:pPr>
        <w:ind w:firstLine="0"/>
        <w:jc w:val="left"/>
      </w:pPr>
      <w:r>
        <w:rPr>
          <w:b/>
        </w:rPr>
        <w:t>Приложение А. Исходные фотографии и задания</w:t>
      </w:r>
    </w:p>
    <w:p>
      <w:pPr>
        <w:ind w:firstLine="709"/>
        <w:jc w:val="both"/>
      </w:pPr>
      <w:r>
        <w:t>В приложении представлены исходные материалы (фотографии) задания на ВКР и дополнительные исходные данные.</w:t>
      </w:r>
    </w:p>
    <w:p>
      <w:pPr>
        <w:ind w:firstLine="0"/>
      </w:pPr>
      <w:r>
        <w:t>Рисунок А.1 — Исходная фотография 1.</w:t>
      </w:r>
    </w:p>
    <w:p>
      <w:r>
        <w:drawing>
          <wp:inline xmlns:a="http://schemas.openxmlformats.org/drawingml/2006/main" xmlns:pic="http://schemas.openxmlformats.org/drawingml/2006/picture">
            <wp:extent cx="4320000" cy="57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1699536570028485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t>Рисунок А.2 — Исходная фотография 2.</w:t>
      </w:r>
    </w:p>
    <w:p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169953657002848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t>Рисунок А.3 — Исходная фотография 3.</w:t>
      </w:r>
    </w:p>
    <w:p>
      <w:r>
        <w:drawing>
          <wp:inline xmlns:a="http://schemas.openxmlformats.org/drawingml/2006/main" xmlns:pic="http://schemas.openxmlformats.org/drawingml/2006/picture">
            <wp:extent cx="4320000" cy="57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1699536570028487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left"/>
      </w:pPr>
      <w:r>
        <w:rPr>
          <w:b/>
        </w:rPr>
        <w:t>Приложение Б. Графическая часть</w:t>
      </w:r>
    </w:p>
    <w:p>
      <w:pPr>
        <w:ind w:firstLine="709"/>
        <w:jc w:val="both"/>
      </w:pPr>
      <w:r>
        <w:t>Графическая часть выпускной квалификационной работы включает:</w:t>
      </w:r>
    </w:p>
    <w:p>
      <w:pPr>
        <w:ind w:firstLine="709"/>
      </w:pPr>
      <w:r>
        <w:t>Развернутую тепловую схему блока станции.</w:t>
      </w:r>
    </w:p>
    <w:p>
      <w:pPr>
        <w:ind w:firstLine="709"/>
      </w:pPr>
      <w:r>
        <w:t>Графическую иллюстрацию специальной части задания.</w:t>
      </w:r>
    </w:p>
    <w:p>
      <w:pPr>
        <w:ind w:firstLine="709"/>
      </w:pPr>
      <w:r>
        <w:t>Графическую иллюстрацию экономической части.</w:t>
      </w:r>
    </w:p>
    <w:p>
      <w:pPr>
        <w:ind w:firstLine="0"/>
        <w:jc w:val="left"/>
      </w:pPr>
      <w:r>
        <w:rPr>
          <w:b/>
        </w:rPr>
        <w:t>Приложение В. Примерный баланс времени выполнения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69"/>
        <w:gridCol w:w="5269"/>
      </w:tblGrid>
      <w:tr>
        <w:tc>
          <w:tcPr>
            <w:tcW w:type="dxa" w:w="5269"/>
          </w:tcPr>
          <w:p>
            <w:pPr>
              <w:jc w:val="center"/>
            </w:pPr>
            <w:r>
              <w:rPr>
                <w:b/>
              </w:rPr>
              <w:t>Этапы выполнения ВКР</w:t>
            </w:r>
          </w:p>
        </w:tc>
        <w:tc>
          <w:tcPr>
            <w:tcW w:type="dxa" w:w="5269"/>
          </w:tcPr>
          <w:p>
            <w:pPr>
              <w:jc w:val="center"/>
            </w:pPr>
            <w:r>
              <w:rPr>
                <w:b/>
              </w:rPr>
              <w:t>Содержание работ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type="dxa" w:w="5269"/>
          </w:tcPr>
          <w:p>
            <w:pPr>
              <w:ind w:firstLine="0"/>
              <w:jc w:val="left"/>
            </w:pPr>
            <w:r>
              <w:t>Разработка разделов 1–6, расчетная часть, оформление выводов.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Графическая часть</w:t>
            </w:r>
          </w:p>
        </w:tc>
        <w:tc>
          <w:tcPr>
            <w:tcW w:type="dxa" w:w="5269"/>
          </w:tcPr>
          <w:p>
            <w:pPr>
              <w:ind w:firstLine="0"/>
              <w:jc w:val="left"/>
            </w:pPr>
            <w:r>
              <w:t>Выполнение схем и чертежей в КОМПАС или AutoCAD.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Заключение, презентация, доклад</w:t>
            </w:r>
          </w:p>
        </w:tc>
        <w:tc>
          <w:tcPr>
            <w:tcW w:type="dxa" w:w="5269"/>
          </w:tcPr>
          <w:p>
            <w:pPr>
              <w:ind w:firstLine="0"/>
              <w:jc w:val="left"/>
            </w:pPr>
            <w:r>
              <w:t>Подготовка защиты, получение отзыва и рецензии.</w:t>
            </w:r>
          </w:p>
        </w:tc>
      </w:tr>
      <w:tr>
        <w:tc>
          <w:tcPr>
            <w:tcW w:type="dxa" w:w="5269"/>
          </w:tcPr>
          <w:p>
            <w:pPr>
              <w:ind w:firstLine="0"/>
              <w:jc w:val="left"/>
            </w:pPr>
            <w:r>
              <w:t>Итого</w:t>
            </w:r>
          </w:p>
        </w:tc>
        <w:tc>
          <w:tcPr>
            <w:tcW w:type="dxa" w:w="5269"/>
          </w:tcPr>
          <w:p>
            <w:pPr>
              <w:ind w:firstLine="0"/>
              <w:jc w:val="left"/>
            </w:pPr>
            <w:r>
              <w:t>Срок выполнения: 17.04.2026 – 11.06.2026.</w:t>
            </w:r>
          </w:p>
        </w:tc>
      </w:tr>
    </w:tbl>
    <w:sectPr w:rsidR="00FC693F" w:rsidRPr="0006063C" w:rsidSect="00034616">
      <w:pgSz w:w="12240" w:h="15840"/>
      <w:pgMar w:top="567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