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Debora Sabrina Barbosa Baleiro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394335</wp:posOffset>
            </wp:positionH>
            <wp:positionV relativeFrom="paragraph">
              <wp:posOffset>62865</wp:posOffset>
            </wp:positionV>
            <wp:extent cx="1187450" cy="965200"/>
            <wp:effectExtent l="0" t="0" r="0" b="0"/>
            <wp:wrapTight wrapText="bothSides">
              <wp:wrapPolygon edited="0">
                <wp:start x="-139" y="0"/>
                <wp:lineTo x="-139" y="20805"/>
                <wp:lineTo x="21319" y="20805"/>
                <wp:lineTo x="21319" y="0"/>
                <wp:lineTo x="-139" y="0"/>
              </wp:wrapPolygon>
            </wp:wrapTight>
            <wp:docPr id="1" name="Imagem 3" descr="C:\Users\conta\Downloads\WhatsApp Image 2021-08-09 at 20.07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conta\Downloads\WhatsApp Image 2021-08-09 at 20.07.45 (1)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Application>Trio_Office/6.2.8.2$Windows_x86 LibreOffice_project/</Application>
  <Pages>1</Pages>
  <Words>489</Words>
  <Characters>2578</Characters>
  <CharactersWithSpaces>2972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2022-04-16T07:43:22Z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