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SOLICITO:  Theo Santos Bandeira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Hemograma completo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Glicemia jejum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Insulina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Colesterol total e frações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Triglicerídeos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Lipoproteína 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TGO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TGP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Acido úrico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Ureia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Creatinina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Gama GT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Proteina C reativa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Homocisteina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Cortisol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Hemoglobina glicada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Frutosamina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Anticorpo anti peroxidase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Anticorpo antitireoglobulina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Anticorpo anti gliadina IgA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Proteínas totais e frações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Cerulopasmina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CoQ10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TSH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T3 livre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T4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1748790</wp:posOffset>
            </wp:positionH>
            <wp:positionV relativeFrom="paragraph">
              <wp:posOffset>17780</wp:posOffset>
            </wp:positionV>
            <wp:extent cx="2081530" cy="73279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73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T4 livre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T3 reverso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PTH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CK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Cálcio iônico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Sódio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Potássio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25-OH-vitD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1,25 di-hidroxi Vitamina D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Cobre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Cromo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Zinco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Magnésio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Vitamina B6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Ácido fólico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Vitamina B12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Selênio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Vit C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Vit 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Vit E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Alumínio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Ferro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Ferritina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Transferrina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Saturação de transferrina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Fibrinogenio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Glutationa total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Perfil de ácidos graxos, soro</w:t>
        <w:br w:type="textWrapping"/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0chz6GhJ6XSbv7Nk3CxWw/VOA==">AMUW2mUSf29nkEykNEzJqZa/+w3fAHSyP0KIf37CgzxU/yBviWTtOvvS7xQkuowAFesSF7QHfyku7kCf0r6o+h4jsUV2ilQzyJPOUEE9yAqRa2bD+2I8z8oIkE8n3uQbwTa2I0exdhuY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2022-04-22T20:54:00Z</dcterms:created>
  <dc:creator>POSITIVO</dc:creator>
</cp:coreProperties>
</file>