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07117469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D521C8">
        <w:t xml:space="preserve"> </w:t>
      </w:r>
      <w:r w:rsidR="0011551C" w:rsidRPr="0011551C">
        <w:rPr>
          <w:sz w:val="24"/>
        </w:rPr>
        <w:t>Andreia Cristina Gomes Estevao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0541D1CC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11551C" w:rsidRPr="0033575B">
        <w:rPr>
          <w:noProof/>
          <w:lang w:eastAsia="pt-BR"/>
        </w:rPr>
        <w:drawing>
          <wp:inline distT="0" distB="0" distL="0" distR="0" wp14:anchorId="491A210D" wp14:editId="0A72D46E">
            <wp:extent cx="1171459" cy="990072"/>
            <wp:effectExtent l="0" t="0" r="0" b="635"/>
            <wp:docPr id="3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23" cy="9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3F416" w14:textId="5B0FFDB9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C2CD6" w14:textId="77777777" w:rsidR="00011840" w:rsidRDefault="00011840" w:rsidP="00514AE2">
      <w:pPr>
        <w:spacing w:after="0" w:line="240" w:lineRule="auto"/>
      </w:pPr>
      <w:r>
        <w:separator/>
      </w:r>
    </w:p>
  </w:endnote>
  <w:endnote w:type="continuationSeparator" w:id="0">
    <w:p w14:paraId="05B026B3" w14:textId="77777777" w:rsidR="00011840" w:rsidRDefault="00011840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380E5" w14:textId="77777777" w:rsidR="00011840" w:rsidRDefault="00011840" w:rsidP="00514AE2">
      <w:pPr>
        <w:spacing w:after="0" w:line="240" w:lineRule="auto"/>
      </w:pPr>
      <w:r>
        <w:separator/>
      </w:r>
    </w:p>
  </w:footnote>
  <w:footnote w:type="continuationSeparator" w:id="0">
    <w:p w14:paraId="69B7AB81" w14:textId="77777777" w:rsidR="00011840" w:rsidRDefault="00011840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11840"/>
    <w:rsid w:val="00032236"/>
    <w:rsid w:val="00071823"/>
    <w:rsid w:val="000922B9"/>
    <w:rsid w:val="0011551C"/>
    <w:rsid w:val="001230A9"/>
    <w:rsid w:val="00145A39"/>
    <w:rsid w:val="00165422"/>
    <w:rsid w:val="001D35DE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A5E68"/>
    <w:rsid w:val="009D1974"/>
    <w:rsid w:val="00A43857"/>
    <w:rsid w:val="00A46D87"/>
    <w:rsid w:val="00A47990"/>
    <w:rsid w:val="00A963DB"/>
    <w:rsid w:val="00AD66C4"/>
    <w:rsid w:val="00AD6863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2022-03-22T19:46:00Z</dcterms:created>
  <dcterms:modified xsi:type="dcterms:W3CDTF">2022-03-22T19:46:00Z</dcterms:modified>
</cp:coreProperties>
</file>