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Service Agreement</w:t>
      </w:r>
    </w:p>
    <w:p>
      <w:r>
        <w:br/>
        <w:t>SERVICE AGREEMENT</w:t>
        <w:br/>
        <w:br/>
        <w:t>This Service Agreement ("Agreement") is entered into on June 1, 2026 between:</w:t>
        <w:br/>
        <w:br/>
        <w:t>Client: Acme Retail Pvt. Ltd.</w:t>
        <w:br/>
        <w:t>Address: Gurgaon, Haryana, India</w:t>
        <w:br/>
        <w:br/>
        <w:t>Service Provider: TechNova Solutions Pvt. Ltd.</w:t>
        <w:br/>
        <w:t>Address: Bengaluru, Karnataka, India</w:t>
        <w:br/>
        <w:br/>
        <w:t>1. Scope of Services</w:t>
        <w:br/>
        <w:t>The Service Provider shall develop and maintain a contract analytics platform for the Client.</w:t>
        <w:br/>
        <w:br/>
        <w:t>2. Term</w:t>
        <w:br/>
        <w:t>This Agreement shall commence on June 1, 2026 and continue until May 31, 2027.</w:t>
        <w:br/>
        <w:br/>
        <w:t>3. Payment Terms</w:t>
        <w:br/>
        <w:t>The Client shall pay INR 12,00,000 in four quarterly installments.</w:t>
        <w:br/>
        <w:t>Invoices are payable within 30 days of receipt.</w:t>
        <w:br/>
        <w:br/>
        <w:t>4. Confidentiality</w:t>
        <w:br/>
        <w:t>Both parties agree to keep confidential information private and not disclose it to third parties without prior written consent.</w:t>
        <w:br/>
        <w:br/>
        <w:t>5. Intellectual Property</w:t>
        <w:br/>
        <w:t>All deliverables created under this Agreement shall become the property of the Client upon full payment.</w:t>
        <w:br/>
        <w:br/>
        <w:t>6. Data Protection</w:t>
        <w:br/>
        <w:t>The Service Provider shall implement reasonable security measures to protect Client data.</w:t>
        <w:br/>
        <w:br/>
        <w:t>7. Termination</w:t>
        <w:br/>
        <w:t>Either party may terminate this Agreement with 30 days written notice.</w:t>
        <w:br/>
        <w:t>Immediate termination is permitted for material breach.</w:t>
        <w:br/>
        <w:br/>
        <w:t>8. Liability</w:t>
        <w:br/>
        <w:t>The total liability of either party shall not exceed the total fees paid under this Agreement.</w:t>
        <w:br/>
        <w:br/>
        <w:t>9. Governing Law</w:t>
        <w:br/>
        <w:t>This Agreement shall be governed by the laws of India.</w:t>
        <w:br/>
        <w:br/>
        <w:t>Signed:</w:t>
        <w:br/>
        <w:t>Client Representative: Rajesh Kumar</w:t>
        <w:br/>
        <w:t>Service Provider Representative: Priya Sharma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