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 Support and Maintenance Agreement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CONT-IT-2024-001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July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June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Acme Retail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TechServe India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INR 18,00,000 per annum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Notice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Technology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Scope of Services</w:t>
      </w:r>
    </w:p>
    <w:p>
      <w:pPr>
        <w:spacing w:after="160"/>
      </w:pPr>
      <w:r>
        <w:rPr>
          <w:sz w:val="20"/>
          <w:szCs w:val="20"/>
        </w:rPr>
        <w:t xml:space="preserve">TechServe India Pvt. Ltd. (the 'Service Provider') agrees to provide comprehensive IT support and maintenance services to Acme Retail Pvt. Ltd. (the 'Client'), including but not limited to: 24x7 helpdesk support, hardware maintenance, network monitoring, cybersecurity management, and software licensing support across all Client office locations in India.</w:t>
      </w:r>
    </w:p>
    <w:p>
      <w:pPr>
        <w:pStyle w:val="Heading2"/>
      </w:pPr>
      <w:r>
        <w:t xml:space="preserve">2. Payment Terms</w:t>
      </w:r>
    </w:p>
    <w:p>
      <w:pPr>
        <w:spacing w:after="160"/>
      </w:pPr>
      <w:r>
        <w:rPr>
          <w:sz w:val="20"/>
          <w:szCs w:val="20"/>
        </w:rPr>
        <w:t xml:space="preserve">The Client shall pay INR 1,50,000 per month payable within 15 days of invoice receipt. Late payments shall attract interest at 1.5% per month. Annual CPI-linked escalation of up to 5% is permitted with 60 days advance notice.</w:t>
      </w:r>
    </w:p>
    <w:p>
      <w:pPr>
        <w:pStyle w:val="Heading2"/>
      </w:pPr>
      <w:r>
        <w:t xml:space="preserve">3. Service Level Agreement</w:t>
      </w:r>
    </w:p>
    <w:p>
      <w:pPr>
        <w:spacing w:after="160"/>
      </w:pPr>
      <w:r>
        <w:rPr>
          <w:sz w:val="20"/>
          <w:szCs w:val="20"/>
        </w:rPr>
        <w:t xml:space="preserve">P1 Critical issues: 2-hour response, 4-hour resolution. P2 High: 4-hour response, 8-hour resolution. P3 Medium: 8-hour response, 24-hour resolution. SLA credits of 5% monthly fee apply for breach of P1 targets exceeding 3 incidents per month.</w:t>
      </w:r>
    </w:p>
    <w:p>
      <w:pPr>
        <w:pStyle w:val="Heading2"/>
      </w:pPr>
      <w:r>
        <w:t xml:space="preserve">4. Confidentiality</w:t>
      </w:r>
    </w:p>
    <w:p>
      <w:pPr>
        <w:spacing w:after="160"/>
      </w:pPr>
      <w:r>
        <w:rPr>
          <w:sz w:val="20"/>
          <w:szCs w:val="20"/>
        </w:rPr>
        <w:t xml:space="preserve">Both parties agree to maintain strict confidentiality of all proprietary information exchanged during the term of this agreement and for a period of 3 years thereafter.</w:t>
      </w:r>
    </w:p>
    <w:p>
      <w:pPr>
        <w:pStyle w:val="Heading2"/>
      </w:pPr>
      <w:r>
        <w:t xml:space="preserve">5. Termination</w:t>
      </w:r>
    </w:p>
    <w:p>
      <w:pPr>
        <w:spacing w:after="160"/>
      </w:pPr>
      <w:r>
        <w:rPr>
          <w:sz w:val="20"/>
          <w:szCs w:val="20"/>
        </w:rPr>
        <w:t xml:space="preserve">Either party may terminate this agreement with 30 days written notice. Immediate termination is permitted in the event of material breach not remedied within 15 days of written notice.</w:t>
      </w:r>
    </w:p>
    <w:p>
      <w:pPr>
        <w:pStyle w:val="Heading2"/>
      </w:pPr>
      <w:r>
        <w:t xml:space="preserve">6. Liability</w:t>
      </w:r>
    </w:p>
    <w:p>
      <w:pPr>
        <w:spacing w:after="160"/>
      </w:pPr>
      <w:r>
        <w:rPr>
          <w:sz w:val="20"/>
          <w:szCs w:val="20"/>
        </w:rPr>
        <w:t xml:space="preserve">The total liability of the Service Provider shall not exceed the total fees paid in the preceding 3 months. Neither party shall be liable for indirect or consequential damages.</w:t>
      </w:r>
    </w:p>
    <w:p>
      <w:pPr>
        <w:pStyle w:val="Heading2"/>
      </w:pPr>
      <w:r>
        <w:t xml:space="preserve">7. Governing Law</w:t>
      </w:r>
    </w:p>
    <w:p>
      <w:pPr>
        <w:spacing w:after="160"/>
      </w:pPr>
      <w:r>
        <w:rPr>
          <w:sz w:val="20"/>
          <w:szCs w:val="20"/>
        </w:rPr>
        <w:t xml:space="preserve">This agreement is governed by the laws of India. Disputes shall be resolved by arbitration in Mumbai under the Arbitration and Conciliation Act, 1996.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2026-06-09T11:30:32.947Z</dcterms:created>
  <dcterms:modified xsi:type="dcterms:W3CDTF">2026-06-09T11:30:32.947Z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