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Security Services Agreement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Contract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CONT-SEC-2024-005</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August 2024</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Expiry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 July 2025</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Acme Retail Pvt. Ltd.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Vendor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SecureGuard Services Pvt. Ltd.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Contract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INR 36,00,000 per annum</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Payment Terms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in arrears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Notice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days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Facilities</w:t>
            </w:r>
          </w:p>
        </w:tc>
      </w:tr>
    </w:tbl>
    <w:p>
      <w:r>
        <w:t xml:space="preserve"/>
      </w:r>
    </w:p>
    <w:p>
      <w:pPr>
        <w:pStyle w:val="Heading2"/>
      </w:pPr>
      <w:r>
        <w:t xml:space="preserve">1. Scope of Services</w:t>
      </w:r>
    </w:p>
    <w:p>
      <w:pPr>
        <w:spacing w:after="160"/>
      </w:pPr>
      <w:r>
        <w:rPr>
          <w:sz w:val="20"/>
          <w:szCs w:val="20"/>
        </w:rPr>
        <w:t xml:space="preserve">SecureGuard Services Pvt. Ltd. (the 'Vendor') shall provide manned guarding, CCTV monitoring, access control management, visitor management, and emergency response services at all Acme Retail Pvt. Ltd. premises including head office, 3 warehouses, and 12 retail outlets across Mumbai and Pune.</w:t>
      </w:r>
    </w:p>
    <w:p>
      <w:pPr>
        <w:pStyle w:val="Heading2"/>
      </w:pPr>
      <w:r>
        <w:t xml:space="preserve">2. Deployment</w:t>
      </w:r>
    </w:p>
    <w:p>
      <w:pPr>
        <w:spacing w:after="160"/>
      </w:pPr>
      <w:r>
        <w:rPr>
          <w:sz w:val="20"/>
          <w:szCs w:val="20"/>
        </w:rPr>
        <w:t xml:space="preserve">The Vendor shall deploy a minimum of 45 trained security personnel across all Client locations. All guards must hold valid PSARA licenses. The Vendor shall maintain a 10% standby pool to cover absenteeism and emergencies without service disruption.</w:t>
      </w:r>
    </w:p>
    <w:p>
      <w:pPr>
        <w:pStyle w:val="Heading2"/>
      </w:pPr>
      <w:r>
        <w:t xml:space="preserve">3. Payment Terms</w:t>
      </w:r>
    </w:p>
    <w:p>
      <w:pPr>
        <w:spacing w:after="160"/>
      </w:pPr>
      <w:r>
        <w:rPr>
          <w:sz w:val="20"/>
          <w:szCs w:val="20"/>
        </w:rPr>
        <w:t xml:space="preserve">Monthly charges of INR 3,00,000 are payable within 30 days of invoice. The Vendor shall submit invoices by the 3rd of each month. Statutory cost variations (PF, ESI, minimum wage revisions) shall be passed through at actuals with supporting documentation.</w:t>
      </w:r>
    </w:p>
    <w:p>
      <w:pPr>
        <w:pStyle w:val="Heading2"/>
      </w:pPr>
      <w:r>
        <w:t xml:space="preserve">4. Compliance</w:t>
      </w:r>
    </w:p>
    <w:p>
      <w:pPr>
        <w:spacing w:after="160"/>
      </w:pPr>
      <w:r>
        <w:rPr>
          <w:sz w:val="20"/>
          <w:szCs w:val="20"/>
        </w:rPr>
        <w:t xml:space="preserve">The Vendor shall comply with all applicable labour laws including Payment of Wages Act, EPF Act, ESI Act, PSARA 2005, and applicable state regulations. Non-compliance may result in immediate termination.</w:t>
      </w:r>
    </w:p>
    <w:p>
      <w:pPr>
        <w:pStyle w:val="Heading2"/>
      </w:pPr>
      <w:r>
        <w:t xml:space="preserve">5. Liability</w:t>
      </w:r>
    </w:p>
    <w:p>
      <w:pPr>
        <w:spacing w:after="160"/>
      </w:pPr>
      <w:r>
        <w:rPr>
          <w:sz w:val="20"/>
          <w:szCs w:val="20"/>
        </w:rPr>
        <w:t xml:space="preserve">The Vendor shall be liable for losses arising directly from negligence or wilful default of its personnel up to a maximum of INR 10,00,000 per incident. The Vendor must maintain comprehensive liability insurance of minimum INR 50,00,000.</w:t>
      </w:r>
    </w:p>
    <w:p>
      <w:pPr>
        <w:pStyle w:val="Heading2"/>
      </w:pPr>
      <w:r>
        <w:t xml:space="preserve">6. Termination</w:t>
      </w:r>
    </w:p>
    <w:p>
      <w:pPr>
        <w:spacing w:after="160"/>
      </w:pPr>
      <w:r>
        <w:rPr>
          <w:sz w:val="20"/>
          <w:szCs w:val="20"/>
        </w:rPr>
        <w:t xml:space="preserve">Either party may terminate with 30 days written notice. The Client may terminate immediately and without liability in the event of a serious security breach attributable to the Vendor's negligence.</w:t>
      </w:r>
    </w:p>
    <w:p>
      <w:pPr>
        <w:pStyle w:val="Heading2"/>
      </w:pPr>
      <w:r>
        <w:t xml:space="preserve">7. Governing Law</w:t>
      </w:r>
    </w:p>
    <w:p>
      <w:pPr>
        <w:spacing w:after="160"/>
      </w:pPr>
      <w:r>
        <w:rPr>
          <w:sz w:val="20"/>
          <w:szCs w:val="20"/>
        </w:rPr>
        <w:t xml:space="preserve">This agreement is governed by the laws of Maharashtra, India. Disputes shall be subject to Mumbai jurisdiction.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2026-06-09T11:30:33.143Z</dcterms:created>
  <dcterms:modified xsi:type="dcterms:W3CDTF">2026-06-09T11:30:33.143Z</dcterms:modified>
</cp:coreProperties>
</file>

<file path=docProps/custom.xml><?xml version="1.0" encoding="utf-8"?>
<Properties xmlns="http://schemas.openxmlformats.org/officeDocument/2006/custom-properties" xmlns:vt="http://schemas.openxmlformats.org/officeDocument/2006/docPropsVTypes"/>
</file>