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Enterprise Software License Agreement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Contract No.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CONT-SW-2024-012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October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Expiry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September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Licensor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CloudSoft Technologies Pvt. Ltd.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Licensee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Acme Retail Pvt. Ltd.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License Fee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INR 24,00,000 per annum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Payment Terms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Quarterly in advance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Notice Period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Information Technology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 License Grant</w:t>
      </w:r>
    </w:p>
    <w:p>
      <w:pPr>
        <w:spacing w:after="160"/>
      </w:pPr>
      <w:r>
        <w:rPr>
          <w:sz w:val="20"/>
          <w:szCs w:val="20"/>
        </w:rPr>
        <w:t xml:space="preserve">CloudSoft Technologies Pvt. Ltd. (the 'Licensor') grants Acme Retail Pvt. Ltd. (the 'Licensee') a non-exclusive, non-transferable enterprise license to use the CloudSoft ERP Suite v4.0 for up to 500 named users across all Licensee locations in India.</w:t>
      </w:r>
    </w:p>
    <w:p>
      <w:pPr>
        <w:pStyle w:val="Heading2"/>
      </w:pPr>
      <w:r>
        <w:t xml:space="preserve">2. License Fee and Payment</w:t>
      </w:r>
    </w:p>
    <w:p>
      <w:pPr>
        <w:spacing w:after="160"/>
      </w:pPr>
      <w:r>
        <w:rPr>
          <w:sz w:val="20"/>
          <w:szCs w:val="20"/>
        </w:rPr>
        <w:t xml:space="preserve">Annual license fee of INR 24,00,000 is payable quarterly in advance (INR 6,00,000 per quarter). Fees are non-refundable. Auto-renewal is in effect unless cancelled with 60 days written notice before the expiry date.</w:t>
      </w:r>
    </w:p>
    <w:p>
      <w:pPr>
        <w:pStyle w:val="Heading2"/>
      </w:pPr>
      <w:r>
        <w:t xml:space="preserve">3. Support and Maintenance</w:t>
      </w:r>
    </w:p>
    <w:p>
      <w:pPr>
        <w:spacing w:after="160"/>
      </w:pPr>
      <w:r>
        <w:rPr>
          <w:sz w:val="20"/>
          <w:szCs w:val="20"/>
        </w:rPr>
        <w:t xml:space="preserve">The license includes standard support (8am-8pm IST, Monday-Friday), quarterly product updates, and access to the online knowledge base. Premium 24x7 support is available at an additional INR 3,00,000 per annum.</w:t>
      </w:r>
    </w:p>
    <w:p>
      <w:pPr>
        <w:pStyle w:val="Heading2"/>
      </w:pPr>
      <w:r>
        <w:t xml:space="preserve">4. Intellectual Property</w:t>
      </w:r>
    </w:p>
    <w:p>
      <w:pPr>
        <w:spacing w:after="160"/>
      </w:pPr>
      <w:r>
        <w:rPr>
          <w:sz w:val="20"/>
          <w:szCs w:val="20"/>
        </w:rPr>
        <w:t xml:space="preserve">All intellectual property rights in the software remain with the Licensor. The Licensee acquires no ownership rights. Reverse engineering, decompilation, or modification of the software is strictly prohibited.</w:t>
      </w:r>
    </w:p>
    <w:p>
      <w:pPr>
        <w:pStyle w:val="Heading2"/>
      </w:pPr>
      <w:r>
        <w:t xml:space="preserve">5. Data Security</w:t>
      </w:r>
    </w:p>
    <w:p>
      <w:pPr>
        <w:spacing w:after="160"/>
      </w:pPr>
      <w:r>
        <w:rPr>
          <w:sz w:val="20"/>
          <w:szCs w:val="20"/>
        </w:rPr>
        <w:t xml:space="preserve">The Licensor shall implement ISO 27001-compliant security measures. Data is hosted on AWS Mumbai region. The Licensor shall notify the Licensee within 72 hours of any confirmed data breach.</w:t>
      </w:r>
    </w:p>
    <w:p>
      <w:pPr>
        <w:pStyle w:val="Heading2"/>
      </w:pPr>
      <w:r>
        <w:t xml:space="preserve">6. Auto-Renewal Risk</w:t>
      </w:r>
    </w:p>
    <w:p>
      <w:pPr>
        <w:spacing w:after="160"/>
      </w:pPr>
      <w:r>
        <w:rPr>
          <w:sz w:val="20"/>
          <w:szCs w:val="20"/>
        </w:rPr>
        <w:t xml:space="preserve">IMPORTANT: This agreement auto-renews for successive one-year terms unless the Licensee provides written cancellation notice at least 60 days before the expiry date. Failure to cancel will result in automatic billing for the next annual term.</w:t>
      </w:r>
    </w:p>
    <w:p>
      <w:pPr>
        <w:pStyle w:val="Heading2"/>
      </w:pPr>
      <w:r>
        <w:t xml:space="preserve">7. Governing Law</w:t>
      </w:r>
    </w:p>
    <w:p>
      <w:pPr>
        <w:spacing w:after="160"/>
      </w:pPr>
      <w:r>
        <w:rPr>
          <w:sz w:val="20"/>
          <w:szCs w:val="20"/>
        </w:rPr>
        <w:t xml:space="preserve">This agreement is governed by the laws of India. Exclusive jurisdiction shall vest in courts of Mumbai, Maharashtra.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2026-06-09T11:30:33.094Z</dcterms:created>
  <dcterms:modified xsi:type="dcterms:W3CDTF">2026-06-09T11:30:33.094Z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