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Sales &amp; Profit Dashboard – Final Insights Report</w:t>
      </w:r>
    </w:p>
    <w:p>
      <w:r>
        <w:br/>
        <w:t>1. Overall Business Performance</w:t>
        <w:br/>
        <w:t>- Total Revenue: ₹984.81M</w:t>
        <w:br/>
        <w:t>- Total Sales Quantity: 2M</w:t>
        <w:br/>
        <w:t>Insight: The business operates at a large scale with strong market presence.</w:t>
        <w:br/>
        <w:br/>
        <w:t>2. Revenue Trend Analysis</w:t>
        <w:br/>
        <w:t>- Revenue shows fluctuations with a decline towards recent months.</w:t>
        <w:br/>
        <w:t>Insight: Indicates potential slowdown due to demand or competition.</w:t>
        <w:br/>
        <w:br/>
        <w:t>3. Market-wise Revenue</w:t>
        <w:br/>
        <w:t>Top Markets: Delhi NCR, Mumbai, Ahmedabad</w:t>
        <w:br/>
        <w:t>Low Markets: Chennai, Kanpur</w:t>
        <w:br/>
        <w:t>Insight: High dependency on Delhi NCR.</w:t>
        <w:br/>
        <w:br/>
        <w:t>4. Sales Quantity</w:t>
        <w:br/>
        <w:t>- Delhi NCR dominates volume.</w:t>
        <w:br/>
        <w:t>Insight: Revenue driven by volume, not efficiency.</w:t>
        <w:br/>
        <w:br/>
        <w:t>5. Product Analysis</w:t>
        <w:br/>
        <w:t>Top Products: Prod040, Prod159, Prod065</w:t>
        <w:br/>
        <w:t>Insight: Dependency on few products.</w:t>
        <w:br/>
        <w:br/>
        <w:t>6. Channel Analysis</w:t>
        <w:br/>
        <w:t>- Brick &amp; Mortar: ~68%</w:t>
        <w:br/>
        <w:t>- E-commerce: ~32%</w:t>
        <w:br/>
        <w:t>Insight: Opportunity to grow online channel.</w:t>
        <w:br/>
        <w:br/>
        <w:t>7. Profit Contribution</w:t>
        <w:br/>
        <w:t>Top: Delhi NCR, Mumbai</w:t>
        <w:br/>
        <w:t>Low: Bhubaneswar, Kochi</w:t>
        <w:br/>
        <w:t>Insight: High-volume markets dominate profit.</w:t>
        <w:br/>
        <w:br/>
        <w:t>8. Profit Margin Analysis</w:t>
        <w:br/>
        <w:t>High: Bhubaneswar (~10.48%), Hyderabad, Chennai</w:t>
        <w:br/>
        <w:t>Low: Delhi NCR (~0.59%), Kanpur</w:t>
        <w:br/>
        <w:t>Negative: Lucknow (-2.68%)</w:t>
        <w:br/>
        <w:t>Insight: Efficiency varies significantly.</w:t>
        <w:br/>
        <w:br/>
        <w:t>9. Key Business Insight</w:t>
        <w:br/>
        <w:t>- Delhi NCR: High contribution, low margin → inefficient but important</w:t>
        <w:br/>
        <w:t>- Bhubaneswar: High margin, low contribution → growth opportunity</w:t>
        <w:br/>
        <w:t>- Lucknow: Loss-making → needs action</w:t>
        <w:br/>
        <w:br/>
        <w:t>10. YoY Analysis</w:t>
        <w:br/>
        <w:t>Insight: Revenue and profit instability indicates cost or demand issues.</w:t>
        <w:br/>
        <w:br/>
        <w:t>11. Recommendations</w:t>
        <w:br/>
        <w:t>- Improve margins in Delhi NCR</w:t>
        <w:br/>
        <w:t>- Scale Bhubaneswar</w:t>
        <w:br/>
        <w:t>- Fix or exit Lucknow</w:t>
        <w:br/>
        <w:t>- Expand E-commerce</w:t>
        <w:br/>
        <w:t>- Focus on profitable customers</w:t>
        <w:br/>
        <w:br/>
        <w:t>Final Summary:</w:t>
        <w:br/>
        <w:t>The business shows strong revenue but uneven profitability. Focus should be on improving efficiency in high-volume markets and scaling high-margin regions.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