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Graphical Analysis of Assessment Responses</w:t>
      </w:r>
    </w:p>
    <w:p>
      <w:pPr>
        <w:pStyle w:val="Heading2"/>
      </w:pPr>
      <w:r>
        <w:t>1. Distribution of Neurotypical and ASD Children</w:t>
      </w:r>
    </w:p>
    <w:p>
      <w:r>
        <w:drawing>
          <wp:inline xmlns:a="http://schemas.openxmlformats.org/drawingml/2006/main" xmlns:pic="http://schemas.openxmlformats.org/drawingml/2006/picture">
            <wp:extent cx="5029200" cy="44114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11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chart shows the proportion of Neurotypical and ASD children who participated in the assessment.</w:t>
      </w:r>
    </w:p>
    <w:p>
      <w:pPr>
        <w:pStyle w:val="Heading2"/>
      </w:pPr>
      <w:r>
        <w:t>2. Overall Yes vs No Responses</w:t>
      </w:r>
    </w:p>
    <w:p>
      <w:r>
        <w:drawing>
          <wp:inline xmlns:a="http://schemas.openxmlformats.org/drawingml/2006/main" xmlns:pic="http://schemas.openxmlformats.org/drawingml/2006/picture">
            <wp:extent cx="5029200" cy="34269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6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chart provides a summary of the total 'Yes' and 'No' responses across all questions.</w:t>
      </w:r>
    </w:p>
    <w:p>
      <w:pPr>
        <w:pStyle w:val="Heading2"/>
      </w:pPr>
      <w:r>
        <w:t>3. Yes/No Response Distribution per Question</w:t>
      </w:r>
    </w:p>
    <w:p>
      <w:r>
        <w:drawing>
          <wp:inline xmlns:a="http://schemas.openxmlformats.org/drawingml/2006/main" xmlns:pic="http://schemas.openxmlformats.org/drawingml/2006/picture">
            <wp:extent cx="5486400" cy="625890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cked_bar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589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stacked bar chart represents the number of 'Yes' and 'No' responses for each question in the assessment.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