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827B9C" w14:textId="77777777" w:rsidR="00F264C2" w:rsidRPr="00F264C2" w:rsidRDefault="00F264C2" w:rsidP="00F264C2">
      <w:pPr>
        <w:spacing w:after="0"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F264C2">
        <w:rPr>
          <w:rFonts w:ascii="Arial" w:hAnsi="Arial" w:cs="Arial"/>
          <w:b/>
          <w:bCs/>
          <w:sz w:val="28"/>
          <w:szCs w:val="28"/>
        </w:rPr>
        <w:t>SHILPA SANAPALA</w:t>
      </w:r>
    </w:p>
    <w:p w14:paraId="05CCBCEF" w14:textId="2A1FB7CB" w:rsidR="00F264C2" w:rsidRPr="00F264C2" w:rsidRDefault="00F264C2" w:rsidP="00F264C2">
      <w:pPr>
        <w:spacing w:after="0" w:line="240" w:lineRule="auto"/>
        <w:jc w:val="center"/>
        <w:rPr>
          <w:rFonts w:ascii="Arial" w:hAnsi="Arial" w:cs="Arial"/>
          <w:sz w:val="22"/>
          <w:szCs w:val="22"/>
        </w:rPr>
      </w:pPr>
      <w:r w:rsidRPr="00F264C2">
        <w:rPr>
          <w:rFonts w:ascii="Arial" w:hAnsi="Arial" w:cs="Arial"/>
          <w:sz w:val="22"/>
          <w:szCs w:val="22"/>
        </w:rPr>
        <w:t>St. Louis, MO ▪ (813) 834-7271</w:t>
      </w:r>
    </w:p>
    <w:p w14:paraId="1A78C537" w14:textId="6738A46B" w:rsidR="00F264C2" w:rsidRPr="00F264C2" w:rsidRDefault="00F264C2" w:rsidP="00F264C2">
      <w:pPr>
        <w:spacing w:after="0" w:line="240" w:lineRule="auto"/>
        <w:jc w:val="center"/>
        <w:rPr>
          <w:rFonts w:ascii="Arial" w:hAnsi="Arial" w:cs="Arial"/>
          <w:sz w:val="22"/>
          <w:szCs w:val="22"/>
        </w:rPr>
      </w:pPr>
      <w:r w:rsidRPr="00F264C2">
        <w:rPr>
          <w:rFonts w:ascii="Arial" w:hAnsi="Arial" w:cs="Arial"/>
          <w:sz w:val="22"/>
          <w:szCs w:val="22"/>
        </w:rPr>
        <w:t>shilpa.sanapala@wustl.edu</w:t>
      </w:r>
    </w:p>
    <w:p w14:paraId="26328A4A" w14:textId="77777777" w:rsidR="00F264C2" w:rsidRPr="00F264C2" w:rsidRDefault="00F264C2" w:rsidP="00F264C2">
      <w:pPr>
        <w:spacing w:line="240" w:lineRule="auto"/>
        <w:rPr>
          <w:rFonts w:ascii="Arial" w:hAnsi="Arial" w:cs="Arial"/>
          <w:sz w:val="22"/>
          <w:szCs w:val="22"/>
        </w:rPr>
      </w:pPr>
    </w:p>
    <w:p w14:paraId="7BEFF6A8" w14:textId="77777777" w:rsidR="00F264C2" w:rsidRPr="00F264C2" w:rsidRDefault="00F264C2" w:rsidP="00F264C2">
      <w:pPr>
        <w:spacing w:line="240" w:lineRule="auto"/>
        <w:rPr>
          <w:rFonts w:ascii="Arial" w:hAnsi="Arial" w:cs="Arial"/>
          <w:b/>
          <w:bCs/>
          <w:sz w:val="22"/>
          <w:szCs w:val="22"/>
        </w:rPr>
      </w:pPr>
      <w:r w:rsidRPr="00F264C2">
        <w:rPr>
          <w:rFonts w:ascii="Arial" w:hAnsi="Arial" w:cs="Arial"/>
          <w:b/>
          <w:bCs/>
          <w:sz w:val="22"/>
          <w:szCs w:val="22"/>
        </w:rPr>
        <w:t xml:space="preserve">EDUCATION:  </w:t>
      </w:r>
      <w:r w:rsidRPr="00F264C2">
        <w:rPr>
          <w:rFonts w:ascii="Arial" w:hAnsi="Arial" w:cs="Arial"/>
          <w:b/>
          <w:bCs/>
          <w:sz w:val="22"/>
          <w:szCs w:val="22"/>
        </w:rPr>
        <w:tab/>
      </w:r>
    </w:p>
    <w:p w14:paraId="3FD69550" w14:textId="473274A3" w:rsidR="00F264C2" w:rsidRDefault="00F264C2" w:rsidP="001B22A9">
      <w:pPr>
        <w:spacing w:after="0" w:line="240" w:lineRule="auto"/>
        <w:contextualSpacing/>
        <w:rPr>
          <w:rFonts w:ascii="Arial" w:hAnsi="Arial" w:cs="Arial"/>
          <w:b/>
          <w:bCs/>
          <w:sz w:val="22"/>
          <w:szCs w:val="22"/>
        </w:rPr>
      </w:pPr>
      <w:r w:rsidRPr="00F264C2">
        <w:rPr>
          <w:rFonts w:ascii="Arial" w:hAnsi="Arial" w:cs="Arial"/>
          <w:b/>
          <w:bCs/>
          <w:sz w:val="22"/>
          <w:szCs w:val="22"/>
        </w:rPr>
        <w:t>Certificate in Data Analytics</w:t>
      </w:r>
      <w:r w:rsidR="00B82816">
        <w:rPr>
          <w:rFonts w:ascii="Arial" w:hAnsi="Arial" w:cs="Arial"/>
          <w:b/>
          <w:bCs/>
          <w:sz w:val="22"/>
          <w:szCs w:val="22"/>
        </w:rPr>
        <w:t>, Anticipated Completion Dec 2025</w:t>
      </w:r>
    </w:p>
    <w:p w14:paraId="13524AB7" w14:textId="570910A4" w:rsidR="00B82816" w:rsidRPr="00B82816" w:rsidRDefault="00B82816" w:rsidP="001B22A9">
      <w:pPr>
        <w:spacing w:after="0" w:line="240" w:lineRule="auto"/>
        <w:contextualSpacing/>
        <w:rPr>
          <w:rFonts w:ascii="Arial" w:hAnsi="Arial" w:cs="Arial"/>
          <w:i/>
          <w:iCs/>
          <w:sz w:val="22"/>
          <w:szCs w:val="22"/>
        </w:rPr>
      </w:pPr>
      <w:r w:rsidRPr="00B82816">
        <w:rPr>
          <w:rFonts w:ascii="Arial" w:hAnsi="Arial" w:cs="Arial"/>
          <w:i/>
          <w:iCs/>
          <w:sz w:val="22"/>
          <w:szCs w:val="22"/>
        </w:rPr>
        <w:t>Washington University in St. Louis, MO</w:t>
      </w:r>
    </w:p>
    <w:p w14:paraId="57D73D36" w14:textId="77777777" w:rsidR="00F264C2" w:rsidRDefault="00F264C2" w:rsidP="001B22A9">
      <w:pPr>
        <w:spacing w:line="240" w:lineRule="auto"/>
        <w:contextualSpacing/>
        <w:rPr>
          <w:rFonts w:ascii="Arial" w:hAnsi="Arial" w:cs="Arial"/>
          <w:sz w:val="22"/>
          <w:szCs w:val="22"/>
        </w:rPr>
      </w:pPr>
      <w:r w:rsidRPr="00F264C2">
        <w:rPr>
          <w:rFonts w:ascii="Arial" w:hAnsi="Arial" w:cs="Arial"/>
          <w:sz w:val="22"/>
          <w:szCs w:val="22"/>
        </w:rPr>
        <w:t>Project: Discovery and Characterization of Novel Bat Coronaviruses from Public Metagenomic Datasets Using Sequence Read Archive and R</w:t>
      </w:r>
    </w:p>
    <w:p w14:paraId="2C5B85E5" w14:textId="77777777" w:rsidR="001B22A9" w:rsidRPr="00F264C2" w:rsidRDefault="001B22A9" w:rsidP="001B22A9">
      <w:pPr>
        <w:spacing w:line="240" w:lineRule="auto"/>
        <w:contextualSpacing/>
        <w:rPr>
          <w:rFonts w:ascii="Arial" w:hAnsi="Arial" w:cs="Arial"/>
          <w:sz w:val="22"/>
          <w:szCs w:val="22"/>
        </w:rPr>
      </w:pPr>
    </w:p>
    <w:p w14:paraId="73286DE9" w14:textId="56A5B63D" w:rsidR="00F264C2" w:rsidRPr="00F264C2" w:rsidRDefault="00F264C2" w:rsidP="001B22A9">
      <w:pPr>
        <w:spacing w:after="0" w:line="240" w:lineRule="auto"/>
        <w:contextualSpacing/>
        <w:rPr>
          <w:rFonts w:ascii="Arial" w:hAnsi="Arial" w:cs="Arial"/>
          <w:sz w:val="22"/>
          <w:szCs w:val="22"/>
        </w:rPr>
      </w:pPr>
      <w:r w:rsidRPr="00F264C2">
        <w:rPr>
          <w:rFonts w:ascii="Arial" w:hAnsi="Arial" w:cs="Arial"/>
          <w:b/>
          <w:bCs/>
          <w:sz w:val="22"/>
          <w:szCs w:val="22"/>
        </w:rPr>
        <w:t>Master of Science in Biotechnology</w:t>
      </w:r>
      <w:r w:rsidRPr="00F264C2">
        <w:rPr>
          <w:rFonts w:ascii="Arial" w:hAnsi="Arial" w:cs="Arial"/>
          <w:sz w:val="22"/>
          <w:szCs w:val="22"/>
        </w:rPr>
        <w:t>, May 2011</w:t>
      </w:r>
    </w:p>
    <w:p w14:paraId="710D7E26" w14:textId="77777777" w:rsidR="00F264C2" w:rsidRPr="00B82816" w:rsidRDefault="00F264C2" w:rsidP="001B22A9">
      <w:pPr>
        <w:spacing w:after="0" w:line="240" w:lineRule="auto"/>
        <w:contextualSpacing/>
        <w:rPr>
          <w:rFonts w:ascii="Arial" w:hAnsi="Arial" w:cs="Arial"/>
          <w:i/>
          <w:iCs/>
          <w:sz w:val="22"/>
          <w:szCs w:val="22"/>
        </w:rPr>
      </w:pPr>
      <w:r w:rsidRPr="00B82816">
        <w:rPr>
          <w:rFonts w:ascii="Arial" w:hAnsi="Arial" w:cs="Arial"/>
          <w:i/>
          <w:iCs/>
          <w:sz w:val="22"/>
          <w:szCs w:val="22"/>
        </w:rPr>
        <w:t>The University of Texas at San Antonio, TX</w:t>
      </w:r>
    </w:p>
    <w:p w14:paraId="019AA7B6" w14:textId="77777777" w:rsidR="001B22A9" w:rsidRDefault="00F264C2" w:rsidP="001B22A9">
      <w:pPr>
        <w:spacing w:after="0" w:line="240" w:lineRule="auto"/>
        <w:contextualSpacing/>
        <w:rPr>
          <w:rFonts w:ascii="Arial" w:hAnsi="Arial" w:cs="Arial"/>
          <w:sz w:val="22"/>
          <w:szCs w:val="22"/>
        </w:rPr>
      </w:pPr>
      <w:r w:rsidRPr="00F264C2">
        <w:rPr>
          <w:rFonts w:ascii="Arial" w:hAnsi="Arial" w:cs="Arial"/>
          <w:sz w:val="22"/>
          <w:szCs w:val="22"/>
        </w:rPr>
        <w:t xml:space="preserve">Thesis: Effector </w:t>
      </w:r>
      <w:r>
        <w:rPr>
          <w:rFonts w:ascii="Arial" w:hAnsi="Arial" w:cs="Arial"/>
          <w:sz w:val="22"/>
          <w:szCs w:val="22"/>
        </w:rPr>
        <w:t>M</w:t>
      </w:r>
      <w:r w:rsidRPr="00F264C2">
        <w:rPr>
          <w:rFonts w:ascii="Arial" w:hAnsi="Arial" w:cs="Arial"/>
          <w:sz w:val="22"/>
          <w:szCs w:val="22"/>
        </w:rPr>
        <w:t xml:space="preserve">echanisms in Protective Immunity Against </w:t>
      </w:r>
      <w:proofErr w:type="spellStart"/>
      <w:r w:rsidRPr="00F264C2">
        <w:rPr>
          <w:rFonts w:ascii="Arial" w:hAnsi="Arial" w:cs="Arial"/>
          <w:sz w:val="22"/>
          <w:szCs w:val="22"/>
        </w:rPr>
        <w:t>Francisella</w:t>
      </w:r>
      <w:proofErr w:type="spellEnd"/>
      <w:r w:rsidRPr="00F264C2">
        <w:rPr>
          <w:rFonts w:ascii="Arial" w:hAnsi="Arial" w:cs="Arial"/>
          <w:sz w:val="22"/>
          <w:szCs w:val="22"/>
        </w:rPr>
        <w:t xml:space="preserve"> tularensis   </w:t>
      </w:r>
      <w:r w:rsidRPr="00F264C2">
        <w:rPr>
          <w:rFonts w:ascii="Arial" w:hAnsi="Arial" w:cs="Arial"/>
          <w:sz w:val="22"/>
          <w:szCs w:val="22"/>
        </w:rPr>
        <w:tab/>
        <w:t xml:space="preserve"> </w:t>
      </w:r>
    </w:p>
    <w:p w14:paraId="16E7C6E6" w14:textId="77777777" w:rsidR="001B22A9" w:rsidRDefault="001B22A9" w:rsidP="001B22A9">
      <w:pPr>
        <w:spacing w:after="0" w:line="240" w:lineRule="auto"/>
        <w:contextualSpacing/>
        <w:rPr>
          <w:rFonts w:ascii="Arial" w:hAnsi="Arial" w:cs="Arial"/>
          <w:sz w:val="22"/>
          <w:szCs w:val="22"/>
        </w:rPr>
      </w:pPr>
    </w:p>
    <w:p w14:paraId="65EED130" w14:textId="4E2C5C8F" w:rsidR="00F264C2" w:rsidRPr="00F264C2" w:rsidRDefault="00F264C2" w:rsidP="001B22A9">
      <w:pPr>
        <w:spacing w:after="0" w:line="240" w:lineRule="auto"/>
        <w:contextualSpacing/>
        <w:rPr>
          <w:rFonts w:ascii="Arial" w:hAnsi="Arial" w:cs="Arial"/>
          <w:sz w:val="22"/>
          <w:szCs w:val="22"/>
        </w:rPr>
      </w:pPr>
      <w:r w:rsidRPr="00B82816">
        <w:rPr>
          <w:rFonts w:ascii="Arial" w:hAnsi="Arial" w:cs="Arial"/>
          <w:b/>
          <w:bCs/>
          <w:sz w:val="22"/>
          <w:szCs w:val="22"/>
        </w:rPr>
        <w:t>Bachelor of Technology in Biotechnology</w:t>
      </w:r>
      <w:r w:rsidRPr="00F264C2">
        <w:rPr>
          <w:rFonts w:ascii="Arial" w:hAnsi="Arial" w:cs="Arial"/>
          <w:sz w:val="22"/>
          <w:szCs w:val="22"/>
        </w:rPr>
        <w:t xml:space="preserve">, May 2007 </w:t>
      </w:r>
    </w:p>
    <w:p w14:paraId="15DC0BE9" w14:textId="77777777" w:rsidR="00F264C2" w:rsidRPr="00B82816" w:rsidRDefault="00F264C2" w:rsidP="001B22A9">
      <w:pPr>
        <w:spacing w:after="0" w:line="240" w:lineRule="auto"/>
        <w:contextualSpacing/>
        <w:rPr>
          <w:rFonts w:ascii="Arial" w:hAnsi="Arial" w:cs="Arial"/>
          <w:i/>
          <w:iCs/>
          <w:sz w:val="22"/>
          <w:szCs w:val="22"/>
        </w:rPr>
      </w:pPr>
      <w:r w:rsidRPr="00B82816">
        <w:rPr>
          <w:rFonts w:ascii="Arial" w:hAnsi="Arial" w:cs="Arial"/>
          <w:i/>
          <w:iCs/>
          <w:sz w:val="22"/>
          <w:szCs w:val="22"/>
        </w:rPr>
        <w:t xml:space="preserve">Jawaharlal Nehru Technological University, India                                            </w:t>
      </w:r>
    </w:p>
    <w:p w14:paraId="35C1AB95" w14:textId="77777777" w:rsidR="00F264C2" w:rsidRPr="00B82816" w:rsidRDefault="00F264C2" w:rsidP="00F264C2">
      <w:pPr>
        <w:rPr>
          <w:rFonts w:ascii="Arial" w:hAnsi="Arial" w:cs="Arial"/>
          <w:b/>
          <w:bCs/>
          <w:sz w:val="22"/>
          <w:szCs w:val="22"/>
        </w:rPr>
      </w:pPr>
      <w:r w:rsidRPr="00B82816">
        <w:rPr>
          <w:rFonts w:ascii="Arial" w:hAnsi="Arial" w:cs="Arial"/>
          <w:b/>
          <w:bCs/>
          <w:sz w:val="22"/>
          <w:szCs w:val="22"/>
        </w:rPr>
        <w:tab/>
        <w:t xml:space="preserve">    </w:t>
      </w:r>
    </w:p>
    <w:p w14:paraId="61E046F9" w14:textId="77777777" w:rsidR="00F264C2" w:rsidRPr="00F264C2" w:rsidRDefault="00F264C2" w:rsidP="00F264C2">
      <w:pPr>
        <w:rPr>
          <w:rFonts w:ascii="Arial" w:hAnsi="Arial" w:cs="Arial"/>
          <w:sz w:val="22"/>
          <w:szCs w:val="22"/>
        </w:rPr>
      </w:pPr>
      <w:r w:rsidRPr="00B82816">
        <w:rPr>
          <w:rFonts w:ascii="Arial" w:hAnsi="Arial" w:cs="Arial"/>
          <w:b/>
          <w:bCs/>
          <w:sz w:val="22"/>
          <w:szCs w:val="22"/>
        </w:rPr>
        <w:t>PROFESSIONAL EXPERIENCE:</w:t>
      </w:r>
      <w:r w:rsidRPr="00F264C2">
        <w:rPr>
          <w:rFonts w:ascii="Arial" w:hAnsi="Arial" w:cs="Arial"/>
          <w:sz w:val="22"/>
          <w:szCs w:val="22"/>
        </w:rPr>
        <w:t xml:space="preserve"> </w:t>
      </w:r>
      <w:r w:rsidRPr="00F264C2">
        <w:rPr>
          <w:rFonts w:ascii="Arial" w:hAnsi="Arial" w:cs="Arial"/>
          <w:sz w:val="22"/>
          <w:szCs w:val="22"/>
        </w:rPr>
        <w:tab/>
      </w:r>
    </w:p>
    <w:p w14:paraId="740FA21C" w14:textId="77777777" w:rsidR="00F264C2" w:rsidRPr="00F264C2" w:rsidRDefault="00F264C2" w:rsidP="00B82816">
      <w:pPr>
        <w:spacing w:after="0" w:line="240" w:lineRule="auto"/>
        <w:rPr>
          <w:rFonts w:ascii="Arial" w:hAnsi="Arial" w:cs="Arial"/>
          <w:sz w:val="22"/>
          <w:szCs w:val="22"/>
        </w:rPr>
      </w:pPr>
      <w:r w:rsidRPr="00B82816">
        <w:rPr>
          <w:rFonts w:ascii="Arial" w:hAnsi="Arial" w:cs="Arial"/>
          <w:b/>
          <w:bCs/>
          <w:sz w:val="22"/>
          <w:szCs w:val="22"/>
        </w:rPr>
        <w:t>Staff Scientist in Medicine</w:t>
      </w:r>
      <w:r w:rsidRPr="00F264C2">
        <w:rPr>
          <w:rFonts w:ascii="Arial" w:hAnsi="Arial" w:cs="Arial"/>
          <w:sz w:val="22"/>
          <w:szCs w:val="22"/>
        </w:rPr>
        <w:t xml:space="preserve">, Nov 2022 – Present  </w:t>
      </w:r>
    </w:p>
    <w:p w14:paraId="16CAFC58" w14:textId="77777777" w:rsidR="00F264C2" w:rsidRPr="00B82816" w:rsidRDefault="00F264C2" w:rsidP="00B82816">
      <w:pPr>
        <w:spacing w:after="0" w:line="240" w:lineRule="auto"/>
        <w:rPr>
          <w:rFonts w:ascii="Arial" w:hAnsi="Arial" w:cs="Arial"/>
          <w:i/>
          <w:iCs/>
          <w:sz w:val="22"/>
          <w:szCs w:val="22"/>
        </w:rPr>
      </w:pPr>
      <w:r w:rsidRPr="00B82816">
        <w:rPr>
          <w:rFonts w:ascii="Arial" w:hAnsi="Arial" w:cs="Arial"/>
          <w:i/>
          <w:iCs/>
          <w:sz w:val="22"/>
          <w:szCs w:val="22"/>
        </w:rPr>
        <w:t>Washington University School of Medicine, St. Louis, MO</w:t>
      </w:r>
    </w:p>
    <w:p w14:paraId="043F6C4D" w14:textId="1ECA3B94" w:rsidR="00F264C2" w:rsidRPr="00047E47" w:rsidRDefault="00F264C2" w:rsidP="00047E47">
      <w:pPr>
        <w:pStyle w:val="ListParagraph"/>
        <w:spacing w:after="15" w:line="254" w:lineRule="auto"/>
        <w:ind w:hanging="360"/>
        <w:rPr>
          <w:rFonts w:ascii="Arial" w:eastAsia="Arial" w:hAnsi="Arial" w:cs="Times New Roman"/>
          <w:color w:val="000000"/>
          <w:sz w:val="22"/>
          <w:lang w:val="en" w:eastAsia="en"/>
        </w:rPr>
      </w:pPr>
      <w:r w:rsidRPr="00047E47">
        <w:rPr>
          <w:rFonts w:ascii="Arial" w:eastAsia="Arial" w:hAnsi="Arial" w:cs="Times New Roman"/>
          <w:color w:val="000000"/>
          <w:sz w:val="22"/>
          <w:lang w:val="en" w:eastAsia="en"/>
        </w:rPr>
        <w:t>•</w:t>
      </w:r>
      <w:r w:rsidRPr="00047E47">
        <w:rPr>
          <w:rFonts w:ascii="Arial" w:eastAsia="Arial" w:hAnsi="Arial" w:cs="Times New Roman"/>
          <w:color w:val="000000"/>
          <w:sz w:val="22"/>
          <w:lang w:val="en" w:eastAsia="en"/>
        </w:rPr>
        <w:tab/>
        <w:t>Conduct immunologic and virologic assays to assess the protective efficacy of mRNA</w:t>
      </w:r>
      <w:r w:rsidR="00B82816" w:rsidRPr="00047E47">
        <w:rPr>
          <w:rFonts w:ascii="Arial" w:eastAsia="Arial" w:hAnsi="Arial" w:cs="Times New Roman"/>
          <w:color w:val="000000"/>
          <w:sz w:val="22"/>
          <w:lang w:val="en" w:eastAsia="en"/>
        </w:rPr>
        <w:t xml:space="preserve"> </w:t>
      </w:r>
      <w:r w:rsidRPr="00047E47">
        <w:rPr>
          <w:rFonts w:ascii="Arial" w:eastAsia="Arial" w:hAnsi="Arial" w:cs="Times New Roman"/>
          <w:color w:val="000000"/>
          <w:sz w:val="22"/>
          <w:lang w:val="en" w:eastAsia="en"/>
        </w:rPr>
        <w:t xml:space="preserve">LNP and </w:t>
      </w:r>
      <w:proofErr w:type="spellStart"/>
      <w:r w:rsidRPr="00047E47">
        <w:rPr>
          <w:rFonts w:ascii="Arial" w:eastAsia="Arial" w:hAnsi="Arial" w:cs="Times New Roman"/>
          <w:color w:val="000000"/>
          <w:sz w:val="22"/>
          <w:lang w:val="en" w:eastAsia="en"/>
        </w:rPr>
        <w:t>ChAd</w:t>
      </w:r>
      <w:proofErr w:type="spellEnd"/>
      <w:r w:rsidRPr="00047E47">
        <w:rPr>
          <w:rFonts w:ascii="Arial" w:eastAsia="Arial" w:hAnsi="Arial" w:cs="Times New Roman"/>
          <w:color w:val="000000"/>
          <w:sz w:val="22"/>
          <w:lang w:val="en" w:eastAsia="en"/>
        </w:rPr>
        <w:t xml:space="preserve">-based vaccines against SARS-CoV-2. </w:t>
      </w:r>
    </w:p>
    <w:p w14:paraId="102A7F85" w14:textId="77777777" w:rsidR="00F264C2" w:rsidRPr="00047E47" w:rsidRDefault="00F264C2" w:rsidP="00047E47">
      <w:pPr>
        <w:pStyle w:val="ListParagraph"/>
        <w:spacing w:after="15" w:line="254" w:lineRule="auto"/>
        <w:ind w:hanging="360"/>
        <w:rPr>
          <w:rFonts w:ascii="Arial" w:eastAsia="Arial" w:hAnsi="Arial" w:cs="Times New Roman"/>
          <w:color w:val="000000"/>
          <w:sz w:val="22"/>
          <w:lang w:val="en" w:eastAsia="en"/>
        </w:rPr>
      </w:pPr>
      <w:r w:rsidRPr="00047E47">
        <w:rPr>
          <w:rFonts w:ascii="Arial" w:eastAsia="Arial" w:hAnsi="Arial" w:cs="Times New Roman"/>
          <w:color w:val="000000"/>
          <w:sz w:val="22"/>
          <w:lang w:val="en" w:eastAsia="en"/>
        </w:rPr>
        <w:t>•</w:t>
      </w:r>
      <w:r w:rsidRPr="00047E47">
        <w:rPr>
          <w:rFonts w:ascii="Arial" w:eastAsia="Arial" w:hAnsi="Arial" w:cs="Times New Roman"/>
          <w:color w:val="000000"/>
          <w:sz w:val="22"/>
          <w:lang w:val="en" w:eastAsia="en"/>
        </w:rPr>
        <w:tab/>
        <w:t>Use animal models to investigate vaccine-host interactions.</w:t>
      </w:r>
    </w:p>
    <w:p w14:paraId="496AD7F9" w14:textId="3BE051A8" w:rsidR="00F264C2" w:rsidRPr="00047E47" w:rsidRDefault="00F264C2" w:rsidP="00047E47">
      <w:pPr>
        <w:pStyle w:val="ListParagraph"/>
        <w:spacing w:after="15" w:line="254" w:lineRule="auto"/>
        <w:ind w:hanging="360"/>
        <w:rPr>
          <w:rFonts w:ascii="Arial" w:eastAsia="Arial" w:hAnsi="Arial" w:cs="Times New Roman"/>
          <w:color w:val="000000"/>
          <w:sz w:val="22"/>
          <w:lang w:val="en" w:eastAsia="en"/>
        </w:rPr>
      </w:pPr>
      <w:r w:rsidRPr="00047E47">
        <w:rPr>
          <w:rFonts w:ascii="Arial" w:eastAsia="Arial" w:hAnsi="Arial" w:cs="Times New Roman"/>
          <w:color w:val="000000"/>
          <w:sz w:val="22"/>
          <w:lang w:val="en" w:eastAsia="en"/>
        </w:rPr>
        <w:t>•</w:t>
      </w:r>
      <w:r w:rsidRPr="00047E47">
        <w:rPr>
          <w:rFonts w:ascii="Arial" w:eastAsia="Arial" w:hAnsi="Arial" w:cs="Times New Roman"/>
          <w:color w:val="000000"/>
          <w:sz w:val="22"/>
          <w:lang w:val="en" w:eastAsia="en"/>
        </w:rPr>
        <w:tab/>
        <w:t>Contribute to the development of vaccines and antiviral therapeutics for emerging</w:t>
      </w:r>
      <w:r w:rsidR="00B82816" w:rsidRPr="00047E47">
        <w:rPr>
          <w:rFonts w:ascii="Arial" w:eastAsia="Arial" w:hAnsi="Arial" w:cs="Times New Roman"/>
          <w:color w:val="000000"/>
          <w:sz w:val="22"/>
          <w:lang w:val="en" w:eastAsia="en"/>
        </w:rPr>
        <w:t xml:space="preserve"> </w:t>
      </w:r>
      <w:r w:rsidRPr="00047E47">
        <w:rPr>
          <w:rFonts w:ascii="Arial" w:eastAsia="Arial" w:hAnsi="Arial" w:cs="Times New Roman"/>
          <w:color w:val="000000"/>
          <w:sz w:val="22"/>
          <w:lang w:val="en" w:eastAsia="en"/>
        </w:rPr>
        <w:t xml:space="preserve">viruses. </w:t>
      </w:r>
    </w:p>
    <w:p w14:paraId="22EC5050" w14:textId="77777777" w:rsidR="00F264C2" w:rsidRPr="00047E47" w:rsidRDefault="00F264C2" w:rsidP="00047E47">
      <w:pPr>
        <w:pStyle w:val="ListParagraph"/>
        <w:spacing w:after="15" w:line="254" w:lineRule="auto"/>
        <w:ind w:hanging="360"/>
        <w:rPr>
          <w:rFonts w:ascii="Arial" w:eastAsia="Arial" w:hAnsi="Arial" w:cs="Times New Roman"/>
          <w:color w:val="000000"/>
          <w:sz w:val="22"/>
          <w:lang w:val="en" w:eastAsia="en"/>
        </w:rPr>
      </w:pPr>
      <w:r w:rsidRPr="00047E47">
        <w:rPr>
          <w:rFonts w:ascii="Arial" w:eastAsia="Arial" w:hAnsi="Arial" w:cs="Times New Roman"/>
          <w:color w:val="000000"/>
          <w:sz w:val="22"/>
          <w:lang w:val="en" w:eastAsia="en"/>
        </w:rPr>
        <w:t>•</w:t>
      </w:r>
      <w:r w:rsidRPr="00047E47">
        <w:rPr>
          <w:rFonts w:ascii="Arial" w:eastAsia="Arial" w:hAnsi="Arial" w:cs="Times New Roman"/>
          <w:color w:val="000000"/>
          <w:sz w:val="22"/>
          <w:lang w:val="en" w:eastAsia="en"/>
        </w:rPr>
        <w:tab/>
        <w:t xml:space="preserve">Resolve lab equipment and test subject-related issues. </w:t>
      </w:r>
    </w:p>
    <w:p w14:paraId="5ED1D345" w14:textId="77777777" w:rsidR="00F264C2" w:rsidRPr="00047E47" w:rsidRDefault="00F264C2" w:rsidP="00047E47">
      <w:pPr>
        <w:pStyle w:val="ListParagraph"/>
        <w:spacing w:after="15" w:line="254" w:lineRule="auto"/>
        <w:ind w:hanging="360"/>
        <w:rPr>
          <w:rFonts w:ascii="Arial" w:eastAsia="Arial" w:hAnsi="Arial" w:cs="Times New Roman"/>
          <w:color w:val="000000"/>
          <w:sz w:val="22"/>
          <w:lang w:val="en" w:eastAsia="en"/>
        </w:rPr>
      </w:pPr>
      <w:r w:rsidRPr="00047E47">
        <w:rPr>
          <w:rFonts w:ascii="Arial" w:eastAsia="Arial" w:hAnsi="Arial" w:cs="Times New Roman"/>
          <w:color w:val="000000"/>
          <w:sz w:val="22"/>
          <w:lang w:val="en" w:eastAsia="en"/>
        </w:rPr>
        <w:t>•</w:t>
      </w:r>
      <w:r w:rsidRPr="00047E47">
        <w:rPr>
          <w:rFonts w:ascii="Arial" w:eastAsia="Arial" w:hAnsi="Arial" w:cs="Times New Roman"/>
          <w:color w:val="000000"/>
          <w:sz w:val="22"/>
          <w:lang w:val="en" w:eastAsia="en"/>
        </w:rPr>
        <w:tab/>
        <w:t xml:space="preserve">Recommended technical and procedural enhancements for testing methods. </w:t>
      </w:r>
    </w:p>
    <w:p w14:paraId="6A0B469F" w14:textId="77777777" w:rsidR="000C7F7D" w:rsidRDefault="000C7F7D" w:rsidP="00B82816">
      <w:pPr>
        <w:spacing w:after="0" w:line="240" w:lineRule="auto"/>
        <w:rPr>
          <w:rFonts w:ascii="Arial" w:hAnsi="Arial" w:cs="Arial"/>
          <w:sz w:val="22"/>
          <w:szCs w:val="22"/>
        </w:rPr>
      </w:pPr>
    </w:p>
    <w:p w14:paraId="32A2DF79" w14:textId="366C0BBE" w:rsidR="00F264C2" w:rsidRPr="00F264C2" w:rsidRDefault="00F264C2" w:rsidP="00B82816">
      <w:pPr>
        <w:spacing w:after="0" w:line="240" w:lineRule="auto"/>
        <w:rPr>
          <w:rFonts w:ascii="Arial" w:hAnsi="Arial" w:cs="Arial"/>
          <w:sz w:val="22"/>
          <w:szCs w:val="22"/>
        </w:rPr>
      </w:pPr>
      <w:r w:rsidRPr="00B82816">
        <w:rPr>
          <w:rFonts w:ascii="Arial" w:hAnsi="Arial" w:cs="Arial"/>
          <w:b/>
          <w:bCs/>
          <w:sz w:val="22"/>
          <w:szCs w:val="22"/>
        </w:rPr>
        <w:t>Staff Scientist in Neurology</w:t>
      </w:r>
      <w:r w:rsidRPr="00F264C2">
        <w:rPr>
          <w:rFonts w:ascii="Arial" w:hAnsi="Arial" w:cs="Arial"/>
          <w:sz w:val="22"/>
          <w:szCs w:val="22"/>
        </w:rPr>
        <w:t>, Nov 2021 – Nov 2022 &amp; June 2018 – Feb 20</w:t>
      </w:r>
    </w:p>
    <w:p w14:paraId="2D6403E5" w14:textId="77777777" w:rsidR="00F264C2" w:rsidRPr="00B82816" w:rsidRDefault="00F264C2" w:rsidP="00B82816">
      <w:pPr>
        <w:spacing w:after="0" w:line="240" w:lineRule="auto"/>
        <w:rPr>
          <w:rFonts w:ascii="Arial" w:hAnsi="Arial" w:cs="Arial"/>
          <w:i/>
          <w:iCs/>
          <w:sz w:val="22"/>
          <w:szCs w:val="22"/>
        </w:rPr>
      </w:pPr>
      <w:r w:rsidRPr="00B82816">
        <w:rPr>
          <w:rFonts w:ascii="Arial" w:hAnsi="Arial" w:cs="Arial"/>
          <w:i/>
          <w:iCs/>
          <w:sz w:val="22"/>
          <w:szCs w:val="22"/>
        </w:rPr>
        <w:t>Washington University School of Medicine, St. Louis, MO</w:t>
      </w:r>
    </w:p>
    <w:p w14:paraId="70F620FC" w14:textId="77777777" w:rsidR="00F264C2" w:rsidRPr="00047E47" w:rsidRDefault="00F264C2" w:rsidP="00047E47">
      <w:pPr>
        <w:pStyle w:val="ListParagraph"/>
        <w:spacing w:after="15" w:line="254" w:lineRule="auto"/>
        <w:ind w:hanging="360"/>
        <w:rPr>
          <w:rFonts w:ascii="Arial" w:eastAsia="Arial" w:hAnsi="Arial" w:cs="Times New Roman"/>
          <w:color w:val="000000"/>
          <w:sz w:val="22"/>
          <w:lang w:val="en" w:eastAsia="en"/>
        </w:rPr>
      </w:pPr>
      <w:r w:rsidRPr="00047E47">
        <w:rPr>
          <w:rFonts w:ascii="Arial" w:eastAsia="Arial" w:hAnsi="Arial" w:cs="Times New Roman"/>
          <w:color w:val="000000"/>
          <w:sz w:val="22"/>
          <w:lang w:val="en" w:eastAsia="en"/>
        </w:rPr>
        <w:t>•</w:t>
      </w:r>
      <w:r w:rsidRPr="00047E47">
        <w:rPr>
          <w:rFonts w:ascii="Arial" w:eastAsia="Arial" w:hAnsi="Arial" w:cs="Times New Roman"/>
          <w:color w:val="000000"/>
          <w:sz w:val="22"/>
          <w:lang w:val="en" w:eastAsia="en"/>
        </w:rPr>
        <w:tab/>
        <w:t xml:space="preserve">Performed pediatric low-grade glioma modeling using immunocompromised mouse models and induced pluripotent stem cell lines to study the temporal course of tumor formation upon injecting neonatal mice with NF1 mutation-carrying progenitor cells. </w:t>
      </w:r>
    </w:p>
    <w:p w14:paraId="2D5C579D" w14:textId="77777777" w:rsidR="00F264C2" w:rsidRPr="00047E47" w:rsidRDefault="00F264C2" w:rsidP="00047E47">
      <w:pPr>
        <w:pStyle w:val="ListParagraph"/>
        <w:spacing w:after="15" w:line="254" w:lineRule="auto"/>
        <w:ind w:hanging="360"/>
        <w:rPr>
          <w:rFonts w:ascii="Arial" w:eastAsia="Arial" w:hAnsi="Arial" w:cs="Times New Roman"/>
          <w:color w:val="000000"/>
          <w:sz w:val="22"/>
          <w:lang w:val="en" w:eastAsia="en"/>
        </w:rPr>
      </w:pPr>
      <w:r w:rsidRPr="00047E47">
        <w:rPr>
          <w:rFonts w:ascii="Arial" w:eastAsia="Arial" w:hAnsi="Arial" w:cs="Times New Roman"/>
          <w:color w:val="000000"/>
          <w:sz w:val="22"/>
          <w:lang w:val="en" w:eastAsia="en"/>
        </w:rPr>
        <w:t>•</w:t>
      </w:r>
      <w:r w:rsidRPr="00047E47">
        <w:rPr>
          <w:rFonts w:ascii="Arial" w:eastAsia="Arial" w:hAnsi="Arial" w:cs="Times New Roman"/>
          <w:color w:val="000000"/>
          <w:sz w:val="22"/>
          <w:lang w:val="en" w:eastAsia="en"/>
        </w:rPr>
        <w:tab/>
        <w:t xml:space="preserve">Conducted patient-derived xenograft studies to model high-grade glioma using neural progenitor cells carrying NF1 mutations in conjunction with TP53 knockout mutations. </w:t>
      </w:r>
    </w:p>
    <w:p w14:paraId="4A99E372" w14:textId="77777777" w:rsidR="00F264C2" w:rsidRPr="00047E47" w:rsidRDefault="00F264C2" w:rsidP="00047E47">
      <w:pPr>
        <w:pStyle w:val="ListParagraph"/>
        <w:spacing w:after="15" w:line="254" w:lineRule="auto"/>
        <w:ind w:hanging="360"/>
        <w:rPr>
          <w:rFonts w:ascii="Arial" w:eastAsia="Arial" w:hAnsi="Arial" w:cs="Times New Roman"/>
          <w:color w:val="000000"/>
          <w:sz w:val="22"/>
          <w:lang w:val="en" w:eastAsia="en"/>
        </w:rPr>
      </w:pPr>
      <w:r w:rsidRPr="00047E47">
        <w:rPr>
          <w:rFonts w:ascii="Arial" w:eastAsia="Arial" w:hAnsi="Arial" w:cs="Times New Roman"/>
          <w:color w:val="000000"/>
          <w:sz w:val="22"/>
          <w:lang w:val="en" w:eastAsia="en"/>
        </w:rPr>
        <w:t>•</w:t>
      </w:r>
      <w:r w:rsidRPr="00047E47">
        <w:rPr>
          <w:rFonts w:ascii="Arial" w:eastAsia="Arial" w:hAnsi="Arial" w:cs="Times New Roman"/>
          <w:color w:val="000000"/>
          <w:sz w:val="22"/>
          <w:lang w:val="en" w:eastAsia="en"/>
        </w:rPr>
        <w:tab/>
        <w:t xml:space="preserve">Managed lab mouse colony, controlled substance inventory, mouse orders, genotyping, and IDT primer stocks. </w:t>
      </w:r>
    </w:p>
    <w:p w14:paraId="0CB77C36" w14:textId="77777777" w:rsidR="00F264C2" w:rsidRPr="00047E47" w:rsidRDefault="00F264C2" w:rsidP="00047E47">
      <w:pPr>
        <w:pStyle w:val="ListParagraph"/>
        <w:spacing w:after="15" w:line="254" w:lineRule="auto"/>
        <w:ind w:hanging="360"/>
        <w:rPr>
          <w:rFonts w:ascii="Arial" w:eastAsia="Arial" w:hAnsi="Arial" w:cs="Times New Roman"/>
          <w:color w:val="000000"/>
          <w:sz w:val="22"/>
          <w:lang w:val="en" w:eastAsia="en"/>
        </w:rPr>
      </w:pPr>
      <w:r w:rsidRPr="00047E47">
        <w:rPr>
          <w:rFonts w:ascii="Arial" w:eastAsia="Arial" w:hAnsi="Arial" w:cs="Times New Roman"/>
          <w:color w:val="000000"/>
          <w:sz w:val="22"/>
          <w:lang w:val="en" w:eastAsia="en"/>
        </w:rPr>
        <w:t>•</w:t>
      </w:r>
      <w:r w:rsidRPr="00047E47">
        <w:rPr>
          <w:rFonts w:ascii="Arial" w:eastAsia="Arial" w:hAnsi="Arial" w:cs="Times New Roman"/>
          <w:color w:val="000000"/>
          <w:sz w:val="22"/>
          <w:lang w:val="en" w:eastAsia="en"/>
        </w:rPr>
        <w:tab/>
        <w:t xml:space="preserve">Recruited and trained federal work-study students and oriented new lab members with the onboarding process. </w:t>
      </w:r>
    </w:p>
    <w:p w14:paraId="7624D764" w14:textId="77777777" w:rsidR="00F264C2" w:rsidRPr="00047E47" w:rsidRDefault="00F264C2" w:rsidP="00047E47">
      <w:pPr>
        <w:pStyle w:val="ListParagraph"/>
        <w:spacing w:after="15" w:line="254" w:lineRule="auto"/>
        <w:ind w:hanging="360"/>
        <w:rPr>
          <w:rFonts w:ascii="Arial" w:eastAsia="Arial" w:hAnsi="Arial" w:cs="Times New Roman"/>
          <w:color w:val="000000"/>
          <w:sz w:val="22"/>
          <w:lang w:val="en" w:eastAsia="en"/>
        </w:rPr>
      </w:pPr>
      <w:r w:rsidRPr="00047E47">
        <w:rPr>
          <w:rFonts w:ascii="Arial" w:eastAsia="Arial" w:hAnsi="Arial" w:cs="Times New Roman"/>
          <w:color w:val="000000"/>
          <w:sz w:val="22"/>
          <w:lang w:val="en" w:eastAsia="en"/>
        </w:rPr>
        <w:t>•</w:t>
      </w:r>
      <w:r w:rsidRPr="00047E47">
        <w:rPr>
          <w:rFonts w:ascii="Arial" w:eastAsia="Arial" w:hAnsi="Arial" w:cs="Times New Roman"/>
          <w:color w:val="000000"/>
          <w:sz w:val="22"/>
          <w:lang w:val="en" w:eastAsia="en"/>
        </w:rPr>
        <w:tab/>
        <w:t xml:space="preserve">Authored and reviewed Standard Operating Procedures and animal study protocols. </w:t>
      </w:r>
    </w:p>
    <w:p w14:paraId="7E6804DF" w14:textId="77777777" w:rsidR="00F264C2" w:rsidRPr="00047E47" w:rsidRDefault="00F264C2" w:rsidP="00047E47">
      <w:pPr>
        <w:pStyle w:val="ListParagraph"/>
        <w:spacing w:after="15" w:line="254" w:lineRule="auto"/>
        <w:ind w:hanging="360"/>
        <w:rPr>
          <w:rFonts w:ascii="Arial" w:eastAsia="Arial" w:hAnsi="Arial" w:cs="Times New Roman"/>
          <w:color w:val="000000"/>
          <w:sz w:val="22"/>
          <w:lang w:val="en" w:eastAsia="en"/>
        </w:rPr>
      </w:pPr>
      <w:r w:rsidRPr="00047E47">
        <w:rPr>
          <w:rFonts w:ascii="Arial" w:eastAsia="Arial" w:hAnsi="Arial" w:cs="Times New Roman"/>
          <w:color w:val="000000"/>
          <w:sz w:val="22"/>
          <w:lang w:val="en" w:eastAsia="en"/>
        </w:rPr>
        <w:t>•</w:t>
      </w:r>
      <w:r w:rsidRPr="00047E47">
        <w:rPr>
          <w:rFonts w:ascii="Arial" w:eastAsia="Arial" w:hAnsi="Arial" w:cs="Times New Roman"/>
          <w:color w:val="000000"/>
          <w:sz w:val="22"/>
          <w:lang w:val="en" w:eastAsia="en"/>
        </w:rPr>
        <w:tab/>
        <w:t xml:space="preserve">Shipped Category B and GMO materials and coordinated internal and external mouse shipments. </w:t>
      </w:r>
    </w:p>
    <w:p w14:paraId="778FCE47" w14:textId="77777777" w:rsidR="00F264C2" w:rsidRPr="00047E47" w:rsidRDefault="00F264C2" w:rsidP="00047E47">
      <w:pPr>
        <w:pStyle w:val="ListParagraph"/>
        <w:spacing w:after="15" w:line="240" w:lineRule="auto"/>
        <w:ind w:hanging="360"/>
        <w:rPr>
          <w:rFonts w:ascii="Arial" w:eastAsia="Arial" w:hAnsi="Arial" w:cs="Times New Roman"/>
          <w:color w:val="000000"/>
          <w:sz w:val="22"/>
          <w:lang w:val="en" w:eastAsia="en"/>
        </w:rPr>
      </w:pPr>
      <w:r w:rsidRPr="00047E47">
        <w:rPr>
          <w:rFonts w:ascii="Arial" w:eastAsia="Arial" w:hAnsi="Arial" w:cs="Times New Roman"/>
          <w:color w:val="000000"/>
          <w:sz w:val="22"/>
          <w:lang w:val="en" w:eastAsia="en"/>
        </w:rPr>
        <w:t>•</w:t>
      </w:r>
      <w:r w:rsidRPr="00047E47">
        <w:rPr>
          <w:rFonts w:ascii="Arial" w:eastAsia="Arial" w:hAnsi="Arial" w:cs="Times New Roman"/>
          <w:color w:val="000000"/>
          <w:sz w:val="22"/>
          <w:lang w:val="en" w:eastAsia="en"/>
        </w:rPr>
        <w:tab/>
        <w:t>Facilitated and oversaw lab operations such as freezer defrosting, ordering CO2 tanks, and assigning tasks to lab members.</w:t>
      </w:r>
    </w:p>
    <w:p w14:paraId="328F15D6" w14:textId="77777777" w:rsidR="000C7F7D" w:rsidRDefault="000C7F7D" w:rsidP="00047E47">
      <w:pPr>
        <w:spacing w:after="0" w:line="240" w:lineRule="auto"/>
        <w:rPr>
          <w:rFonts w:ascii="Arial" w:hAnsi="Arial" w:cs="Arial"/>
          <w:sz w:val="22"/>
          <w:szCs w:val="22"/>
        </w:rPr>
      </w:pPr>
    </w:p>
    <w:p w14:paraId="259F0B9D" w14:textId="1EDD8048" w:rsidR="00F264C2" w:rsidRPr="000C7F7D" w:rsidRDefault="00F264C2" w:rsidP="00047E47">
      <w:pPr>
        <w:spacing w:after="0" w:line="240" w:lineRule="auto"/>
        <w:rPr>
          <w:rFonts w:ascii="Arial" w:hAnsi="Arial" w:cs="Arial"/>
          <w:sz w:val="22"/>
          <w:szCs w:val="22"/>
        </w:rPr>
      </w:pPr>
      <w:r w:rsidRPr="001B22A9">
        <w:rPr>
          <w:rFonts w:ascii="Arial" w:hAnsi="Arial" w:cs="Arial"/>
          <w:b/>
          <w:bCs/>
          <w:sz w:val="22"/>
          <w:szCs w:val="22"/>
        </w:rPr>
        <w:lastRenderedPageBreak/>
        <w:t>Reviewer on Contract</w:t>
      </w:r>
      <w:r w:rsidRPr="00F264C2">
        <w:rPr>
          <w:rFonts w:ascii="Arial" w:hAnsi="Arial" w:cs="Arial"/>
          <w:sz w:val="22"/>
          <w:szCs w:val="22"/>
        </w:rPr>
        <w:t xml:space="preserve">, April 2020 – June 2021                                                                                        </w:t>
      </w:r>
      <w:r w:rsidRPr="001B22A9">
        <w:rPr>
          <w:rFonts w:ascii="Arial" w:hAnsi="Arial" w:cs="Arial"/>
          <w:i/>
          <w:iCs/>
          <w:sz w:val="22"/>
          <w:szCs w:val="22"/>
        </w:rPr>
        <w:t>Cactus Communications, Mumbai, India</w:t>
      </w:r>
    </w:p>
    <w:p w14:paraId="618D444D" w14:textId="77777777" w:rsidR="00F264C2" w:rsidRPr="00047E47" w:rsidRDefault="00F264C2" w:rsidP="00047E47">
      <w:pPr>
        <w:pStyle w:val="ListParagraph"/>
        <w:spacing w:after="15" w:line="254" w:lineRule="auto"/>
        <w:ind w:hanging="360"/>
        <w:rPr>
          <w:rFonts w:ascii="Arial" w:eastAsia="Arial" w:hAnsi="Arial" w:cs="Times New Roman"/>
          <w:color w:val="000000"/>
          <w:sz w:val="22"/>
          <w:lang w:val="en" w:eastAsia="en"/>
        </w:rPr>
      </w:pPr>
      <w:r w:rsidRPr="00047E47">
        <w:rPr>
          <w:rFonts w:ascii="Arial" w:eastAsia="Arial" w:hAnsi="Arial" w:cs="Times New Roman"/>
          <w:color w:val="000000"/>
          <w:sz w:val="22"/>
          <w:lang w:val="en" w:eastAsia="en"/>
        </w:rPr>
        <w:t>•</w:t>
      </w:r>
      <w:r w:rsidRPr="00047E47">
        <w:rPr>
          <w:rFonts w:ascii="Arial" w:eastAsia="Arial" w:hAnsi="Arial" w:cs="Times New Roman"/>
          <w:color w:val="000000"/>
          <w:sz w:val="22"/>
          <w:lang w:val="en" w:eastAsia="en"/>
        </w:rPr>
        <w:tab/>
        <w:t xml:space="preserve">Proficient in working with manuscript publication and editorial guidelines, offering comprehensive assistance to researchers.  </w:t>
      </w:r>
    </w:p>
    <w:p w14:paraId="5388689E" w14:textId="77777777" w:rsidR="000C7F7D" w:rsidRPr="00047E47" w:rsidRDefault="00F264C2" w:rsidP="00047E47">
      <w:pPr>
        <w:pStyle w:val="ListParagraph"/>
        <w:spacing w:after="15" w:line="254" w:lineRule="auto"/>
        <w:ind w:hanging="360"/>
        <w:rPr>
          <w:rFonts w:ascii="Arial" w:eastAsia="Arial" w:hAnsi="Arial" w:cs="Times New Roman"/>
          <w:color w:val="000000"/>
          <w:sz w:val="22"/>
          <w:lang w:val="en" w:eastAsia="en"/>
        </w:rPr>
      </w:pPr>
      <w:r w:rsidRPr="00047E47">
        <w:rPr>
          <w:rFonts w:ascii="Arial" w:eastAsia="Arial" w:hAnsi="Arial" w:cs="Times New Roman"/>
          <w:color w:val="000000"/>
          <w:sz w:val="22"/>
          <w:lang w:val="en" w:eastAsia="en"/>
        </w:rPr>
        <w:t>•</w:t>
      </w:r>
      <w:r w:rsidRPr="00047E47">
        <w:rPr>
          <w:rFonts w:ascii="Arial" w:eastAsia="Arial" w:hAnsi="Arial" w:cs="Times New Roman"/>
          <w:color w:val="000000"/>
          <w:sz w:val="22"/>
          <w:lang w:val="en" w:eastAsia="en"/>
        </w:rPr>
        <w:tab/>
        <w:t xml:space="preserve">Specialized expertise includes abstract writing, manuscript editing, submission, journal selection, and adeptly addressing journal reviewer feedback.   </w:t>
      </w:r>
    </w:p>
    <w:p w14:paraId="451BB648" w14:textId="77777777" w:rsidR="000C7F7D" w:rsidRDefault="000C7F7D" w:rsidP="00047E47">
      <w:pPr>
        <w:spacing w:after="0" w:line="240" w:lineRule="auto"/>
        <w:ind w:left="720" w:hanging="720"/>
        <w:rPr>
          <w:rFonts w:ascii="Arial" w:hAnsi="Arial" w:cs="Arial"/>
          <w:sz w:val="22"/>
          <w:szCs w:val="22"/>
        </w:rPr>
      </w:pPr>
    </w:p>
    <w:p w14:paraId="78C3D05B" w14:textId="33224772" w:rsidR="00F264C2" w:rsidRPr="00F264C2" w:rsidRDefault="00F264C2" w:rsidP="00047E47">
      <w:pPr>
        <w:spacing w:after="0" w:line="240" w:lineRule="auto"/>
        <w:ind w:left="720" w:hanging="720"/>
        <w:rPr>
          <w:rFonts w:ascii="Arial" w:hAnsi="Arial" w:cs="Arial"/>
          <w:sz w:val="22"/>
          <w:szCs w:val="22"/>
        </w:rPr>
      </w:pPr>
      <w:r w:rsidRPr="001B22A9">
        <w:rPr>
          <w:rFonts w:ascii="Arial" w:hAnsi="Arial" w:cs="Arial"/>
          <w:b/>
          <w:bCs/>
          <w:sz w:val="22"/>
          <w:szCs w:val="22"/>
        </w:rPr>
        <w:t>Biological Scientist</w:t>
      </w:r>
      <w:r w:rsidRPr="00F264C2">
        <w:rPr>
          <w:rFonts w:ascii="Arial" w:hAnsi="Arial" w:cs="Arial"/>
          <w:sz w:val="22"/>
          <w:szCs w:val="22"/>
        </w:rPr>
        <w:t xml:space="preserve">, July 2015 – May 2018                                                   </w:t>
      </w:r>
    </w:p>
    <w:p w14:paraId="0B1D1CC9" w14:textId="77777777" w:rsidR="00F264C2" w:rsidRPr="001B22A9" w:rsidRDefault="00F264C2" w:rsidP="00047E47">
      <w:pPr>
        <w:spacing w:after="0" w:line="240" w:lineRule="auto"/>
        <w:rPr>
          <w:rFonts w:ascii="Arial" w:hAnsi="Arial" w:cs="Arial"/>
          <w:i/>
          <w:iCs/>
          <w:sz w:val="22"/>
          <w:szCs w:val="22"/>
        </w:rPr>
      </w:pPr>
      <w:r w:rsidRPr="001B22A9">
        <w:rPr>
          <w:rFonts w:ascii="Arial" w:hAnsi="Arial" w:cs="Arial"/>
          <w:i/>
          <w:iCs/>
          <w:sz w:val="22"/>
          <w:szCs w:val="22"/>
        </w:rPr>
        <w:t>University of Florida, Gainesville, FL</w:t>
      </w:r>
    </w:p>
    <w:p w14:paraId="76E609E2" w14:textId="77777777" w:rsidR="00F264C2" w:rsidRPr="00047E47" w:rsidRDefault="00F264C2" w:rsidP="00047E47">
      <w:pPr>
        <w:pStyle w:val="ListParagraph"/>
        <w:spacing w:after="15" w:line="254" w:lineRule="auto"/>
        <w:ind w:hanging="360"/>
        <w:rPr>
          <w:rFonts w:ascii="Arial" w:eastAsia="Arial" w:hAnsi="Arial" w:cs="Times New Roman"/>
          <w:color w:val="000000"/>
          <w:sz w:val="22"/>
          <w:lang w:val="en" w:eastAsia="en"/>
        </w:rPr>
      </w:pPr>
      <w:r w:rsidRPr="00047E47">
        <w:rPr>
          <w:rFonts w:ascii="Arial" w:eastAsia="Arial" w:hAnsi="Arial" w:cs="Times New Roman"/>
          <w:color w:val="000000"/>
          <w:sz w:val="22"/>
          <w:lang w:val="en" w:eastAsia="en"/>
        </w:rPr>
        <w:t>•</w:t>
      </w:r>
      <w:r w:rsidRPr="00047E47">
        <w:rPr>
          <w:rFonts w:ascii="Arial" w:eastAsia="Arial" w:hAnsi="Arial" w:cs="Times New Roman"/>
          <w:color w:val="000000"/>
          <w:sz w:val="22"/>
          <w:lang w:val="en" w:eastAsia="en"/>
        </w:rPr>
        <w:tab/>
        <w:t xml:space="preserve">Constructed and evaluated Salmonella and Yersinia-based recombinant attenuated bacterial vaccines. </w:t>
      </w:r>
    </w:p>
    <w:p w14:paraId="72160C26" w14:textId="77777777" w:rsidR="00F264C2" w:rsidRPr="00047E47" w:rsidRDefault="00F264C2" w:rsidP="00047E47">
      <w:pPr>
        <w:pStyle w:val="ListParagraph"/>
        <w:spacing w:after="15" w:line="254" w:lineRule="auto"/>
        <w:ind w:hanging="360"/>
        <w:rPr>
          <w:rFonts w:ascii="Arial" w:eastAsia="Arial" w:hAnsi="Arial" w:cs="Times New Roman"/>
          <w:color w:val="000000"/>
          <w:sz w:val="22"/>
          <w:lang w:val="en" w:eastAsia="en"/>
        </w:rPr>
      </w:pPr>
      <w:r w:rsidRPr="00047E47">
        <w:rPr>
          <w:rFonts w:ascii="Arial" w:eastAsia="Arial" w:hAnsi="Arial" w:cs="Times New Roman"/>
          <w:color w:val="000000"/>
          <w:sz w:val="22"/>
          <w:lang w:val="en" w:eastAsia="en"/>
        </w:rPr>
        <w:t>•</w:t>
      </w:r>
      <w:r w:rsidRPr="00047E47">
        <w:rPr>
          <w:rFonts w:ascii="Arial" w:eastAsia="Arial" w:hAnsi="Arial" w:cs="Times New Roman"/>
          <w:color w:val="000000"/>
          <w:sz w:val="22"/>
          <w:lang w:val="en" w:eastAsia="en"/>
        </w:rPr>
        <w:tab/>
        <w:t xml:space="preserve">Assisted in maintaining equipment and inventory in BSL-3 suites. </w:t>
      </w:r>
    </w:p>
    <w:p w14:paraId="52DD00F8" w14:textId="77777777" w:rsidR="00F264C2" w:rsidRPr="00047E47" w:rsidRDefault="00F264C2" w:rsidP="00047E47">
      <w:pPr>
        <w:pStyle w:val="ListParagraph"/>
        <w:spacing w:after="15" w:line="254" w:lineRule="auto"/>
        <w:ind w:hanging="360"/>
        <w:rPr>
          <w:rFonts w:ascii="Arial" w:eastAsia="Arial" w:hAnsi="Arial" w:cs="Times New Roman"/>
          <w:color w:val="000000"/>
          <w:sz w:val="22"/>
          <w:lang w:val="en" w:eastAsia="en"/>
        </w:rPr>
      </w:pPr>
      <w:r w:rsidRPr="00047E47">
        <w:rPr>
          <w:rFonts w:ascii="Arial" w:eastAsia="Arial" w:hAnsi="Arial" w:cs="Times New Roman"/>
          <w:color w:val="000000"/>
          <w:sz w:val="22"/>
          <w:lang w:val="en" w:eastAsia="en"/>
        </w:rPr>
        <w:t>•</w:t>
      </w:r>
      <w:r w:rsidRPr="00047E47">
        <w:rPr>
          <w:rFonts w:ascii="Arial" w:eastAsia="Arial" w:hAnsi="Arial" w:cs="Times New Roman"/>
          <w:color w:val="000000"/>
          <w:sz w:val="22"/>
          <w:lang w:val="en" w:eastAsia="en"/>
        </w:rPr>
        <w:tab/>
        <w:t xml:space="preserve">Mentored veterinary student interns on their summer projects. </w:t>
      </w:r>
    </w:p>
    <w:p w14:paraId="037B0AFB" w14:textId="77777777" w:rsidR="00F264C2" w:rsidRPr="00047E47" w:rsidRDefault="00F264C2" w:rsidP="00047E47">
      <w:pPr>
        <w:pStyle w:val="ListParagraph"/>
        <w:spacing w:after="15" w:line="254" w:lineRule="auto"/>
        <w:ind w:hanging="360"/>
        <w:rPr>
          <w:rFonts w:ascii="Arial" w:eastAsia="Arial" w:hAnsi="Arial" w:cs="Times New Roman"/>
          <w:color w:val="000000"/>
          <w:sz w:val="22"/>
          <w:lang w:val="en" w:eastAsia="en"/>
        </w:rPr>
      </w:pPr>
      <w:r w:rsidRPr="00047E47">
        <w:rPr>
          <w:rFonts w:ascii="Arial" w:eastAsia="Arial" w:hAnsi="Arial" w:cs="Times New Roman"/>
          <w:color w:val="000000"/>
          <w:sz w:val="22"/>
          <w:lang w:val="en" w:eastAsia="en"/>
        </w:rPr>
        <w:t>•</w:t>
      </w:r>
      <w:r w:rsidRPr="00047E47">
        <w:rPr>
          <w:rFonts w:ascii="Arial" w:eastAsia="Arial" w:hAnsi="Arial" w:cs="Times New Roman"/>
          <w:color w:val="000000"/>
          <w:sz w:val="22"/>
          <w:lang w:val="en" w:eastAsia="en"/>
        </w:rPr>
        <w:tab/>
        <w:t xml:space="preserve">Oriented and trained new researchers for experiments in BSL-2 and BSL-3  </w:t>
      </w:r>
    </w:p>
    <w:p w14:paraId="2260ED57" w14:textId="77777777" w:rsidR="00F264C2" w:rsidRPr="00047E47" w:rsidRDefault="00F264C2" w:rsidP="00047E47">
      <w:pPr>
        <w:pStyle w:val="ListParagraph"/>
        <w:spacing w:after="15" w:line="254" w:lineRule="auto"/>
        <w:ind w:hanging="360"/>
        <w:rPr>
          <w:rFonts w:ascii="Arial" w:eastAsia="Arial" w:hAnsi="Arial" w:cs="Times New Roman"/>
          <w:color w:val="000000"/>
          <w:sz w:val="22"/>
          <w:lang w:val="en" w:eastAsia="en"/>
        </w:rPr>
      </w:pPr>
      <w:r w:rsidRPr="00047E47">
        <w:rPr>
          <w:rFonts w:ascii="Arial" w:eastAsia="Arial" w:hAnsi="Arial" w:cs="Times New Roman"/>
          <w:color w:val="000000"/>
          <w:sz w:val="22"/>
          <w:lang w:val="en" w:eastAsia="en"/>
        </w:rPr>
        <w:t>•</w:t>
      </w:r>
      <w:r w:rsidRPr="00047E47">
        <w:rPr>
          <w:rFonts w:ascii="Arial" w:eastAsia="Arial" w:hAnsi="Arial" w:cs="Times New Roman"/>
          <w:color w:val="000000"/>
          <w:sz w:val="22"/>
          <w:lang w:val="en" w:eastAsia="en"/>
        </w:rPr>
        <w:tab/>
        <w:t xml:space="preserve">Managed hazardous chemical inventory and waste disposal. </w:t>
      </w:r>
    </w:p>
    <w:p w14:paraId="7B7DF83F" w14:textId="77777777" w:rsidR="00F264C2" w:rsidRPr="00047E47" w:rsidRDefault="00F264C2" w:rsidP="00047E47">
      <w:pPr>
        <w:pStyle w:val="ListParagraph"/>
        <w:spacing w:after="15" w:line="254" w:lineRule="auto"/>
        <w:ind w:hanging="360"/>
        <w:rPr>
          <w:rFonts w:ascii="Arial" w:eastAsia="Arial" w:hAnsi="Arial" w:cs="Times New Roman"/>
          <w:color w:val="000000"/>
          <w:sz w:val="22"/>
          <w:lang w:val="en" w:eastAsia="en"/>
        </w:rPr>
      </w:pPr>
      <w:r w:rsidRPr="00047E47">
        <w:rPr>
          <w:rFonts w:ascii="Arial" w:eastAsia="Arial" w:hAnsi="Arial" w:cs="Times New Roman"/>
          <w:color w:val="000000"/>
          <w:sz w:val="22"/>
          <w:lang w:val="en" w:eastAsia="en"/>
        </w:rPr>
        <w:t>•</w:t>
      </w:r>
      <w:r w:rsidRPr="00047E47">
        <w:rPr>
          <w:rFonts w:ascii="Arial" w:eastAsia="Arial" w:hAnsi="Arial" w:cs="Times New Roman"/>
          <w:color w:val="000000"/>
          <w:sz w:val="22"/>
          <w:lang w:val="en" w:eastAsia="en"/>
        </w:rPr>
        <w:tab/>
        <w:t xml:space="preserve">Authored and reviewed SOPs and animal study protocols.  </w:t>
      </w:r>
    </w:p>
    <w:p w14:paraId="2AA97A54" w14:textId="77777777" w:rsidR="00F264C2" w:rsidRPr="00F264C2" w:rsidRDefault="00F264C2" w:rsidP="00047E47">
      <w:pPr>
        <w:spacing w:line="240" w:lineRule="auto"/>
        <w:rPr>
          <w:rFonts w:ascii="Arial" w:hAnsi="Arial" w:cs="Arial"/>
          <w:sz w:val="22"/>
          <w:szCs w:val="22"/>
        </w:rPr>
      </w:pPr>
      <w:r w:rsidRPr="00F264C2">
        <w:rPr>
          <w:rFonts w:ascii="Arial" w:hAnsi="Arial" w:cs="Arial"/>
          <w:sz w:val="22"/>
          <w:szCs w:val="22"/>
        </w:rPr>
        <w:t xml:space="preserve"> </w:t>
      </w:r>
    </w:p>
    <w:p w14:paraId="42C6C281" w14:textId="77777777" w:rsidR="00F264C2" w:rsidRPr="00F264C2" w:rsidRDefault="00F264C2" w:rsidP="00047E47">
      <w:pPr>
        <w:spacing w:after="0" w:line="240" w:lineRule="auto"/>
        <w:rPr>
          <w:rFonts w:ascii="Arial" w:hAnsi="Arial" w:cs="Arial"/>
          <w:sz w:val="22"/>
          <w:szCs w:val="22"/>
        </w:rPr>
      </w:pPr>
      <w:r w:rsidRPr="003D649F">
        <w:rPr>
          <w:rFonts w:ascii="Arial" w:hAnsi="Arial" w:cs="Arial"/>
          <w:b/>
          <w:bCs/>
          <w:sz w:val="22"/>
          <w:szCs w:val="22"/>
        </w:rPr>
        <w:t>Associate Research Technologist</w:t>
      </w:r>
      <w:r w:rsidRPr="00F264C2">
        <w:rPr>
          <w:rFonts w:ascii="Arial" w:hAnsi="Arial" w:cs="Arial"/>
          <w:sz w:val="22"/>
          <w:szCs w:val="22"/>
        </w:rPr>
        <w:t xml:space="preserve">, Aug 2011 – July 2015                                                                        </w:t>
      </w:r>
    </w:p>
    <w:p w14:paraId="5E20AE78" w14:textId="77777777" w:rsidR="00F264C2" w:rsidRPr="003D649F" w:rsidRDefault="00F264C2" w:rsidP="00047E47">
      <w:pPr>
        <w:spacing w:after="0" w:line="240" w:lineRule="auto"/>
        <w:rPr>
          <w:rFonts w:ascii="Arial" w:hAnsi="Arial" w:cs="Arial"/>
          <w:i/>
          <w:iCs/>
          <w:sz w:val="22"/>
          <w:szCs w:val="22"/>
        </w:rPr>
      </w:pPr>
      <w:r w:rsidRPr="003D649F">
        <w:rPr>
          <w:rFonts w:ascii="Arial" w:hAnsi="Arial" w:cs="Arial"/>
          <w:i/>
          <w:iCs/>
          <w:sz w:val="22"/>
          <w:szCs w:val="22"/>
        </w:rPr>
        <w:t>Biodesign Institute, Arizona State University, Tempe, AZ</w:t>
      </w:r>
    </w:p>
    <w:p w14:paraId="26D2291B" w14:textId="77777777" w:rsidR="00F264C2" w:rsidRPr="00047E47" w:rsidRDefault="00F264C2" w:rsidP="00047E47">
      <w:pPr>
        <w:pStyle w:val="ListParagraph"/>
        <w:spacing w:after="15" w:line="254" w:lineRule="auto"/>
        <w:ind w:hanging="360"/>
        <w:rPr>
          <w:rFonts w:ascii="Arial" w:eastAsia="Arial" w:hAnsi="Arial" w:cs="Times New Roman"/>
          <w:color w:val="000000"/>
          <w:sz w:val="22"/>
          <w:lang w:val="en" w:eastAsia="en"/>
        </w:rPr>
      </w:pPr>
      <w:r w:rsidRPr="00F264C2">
        <w:rPr>
          <w:rFonts w:ascii="Arial" w:hAnsi="Arial" w:cs="Arial"/>
          <w:sz w:val="22"/>
          <w:szCs w:val="22"/>
        </w:rPr>
        <w:t>•</w:t>
      </w:r>
      <w:r w:rsidRPr="00F264C2">
        <w:rPr>
          <w:rFonts w:ascii="Arial" w:hAnsi="Arial" w:cs="Arial"/>
          <w:sz w:val="22"/>
          <w:szCs w:val="22"/>
        </w:rPr>
        <w:tab/>
      </w:r>
      <w:r w:rsidRPr="00047E47">
        <w:rPr>
          <w:rFonts w:ascii="Arial" w:eastAsia="Arial" w:hAnsi="Arial" w:cs="Times New Roman"/>
          <w:color w:val="000000"/>
          <w:sz w:val="22"/>
          <w:lang w:val="en" w:eastAsia="en"/>
        </w:rPr>
        <w:t xml:space="preserve">Constructed antigen-delivering Salmonella strains targeting pneumonic and bubonic plague, pneumococcal disease, and tuberculosis. </w:t>
      </w:r>
    </w:p>
    <w:p w14:paraId="677FBFC8" w14:textId="77777777" w:rsidR="00F264C2" w:rsidRPr="00047E47" w:rsidRDefault="00F264C2" w:rsidP="00047E47">
      <w:pPr>
        <w:pStyle w:val="ListParagraph"/>
        <w:spacing w:after="15" w:line="254" w:lineRule="auto"/>
        <w:ind w:hanging="360"/>
        <w:rPr>
          <w:rFonts w:ascii="Arial" w:eastAsia="Arial" w:hAnsi="Arial" w:cs="Times New Roman"/>
          <w:color w:val="000000"/>
          <w:sz w:val="22"/>
          <w:lang w:val="en" w:eastAsia="en"/>
        </w:rPr>
      </w:pPr>
      <w:r w:rsidRPr="00047E47">
        <w:rPr>
          <w:rFonts w:ascii="Arial" w:eastAsia="Arial" w:hAnsi="Arial" w:cs="Times New Roman"/>
          <w:color w:val="000000"/>
          <w:sz w:val="22"/>
          <w:lang w:val="en" w:eastAsia="en"/>
        </w:rPr>
        <w:t>•</w:t>
      </w:r>
      <w:r w:rsidRPr="00047E47">
        <w:rPr>
          <w:rFonts w:ascii="Arial" w:eastAsia="Arial" w:hAnsi="Arial" w:cs="Times New Roman"/>
          <w:color w:val="000000"/>
          <w:sz w:val="22"/>
          <w:lang w:val="en" w:eastAsia="en"/>
        </w:rPr>
        <w:tab/>
        <w:t xml:space="preserve">Evaluated antigen synthesis, vaccine strain colonization, antibody &amp; cell-mediated responses, and protection in murine animal models. </w:t>
      </w:r>
    </w:p>
    <w:p w14:paraId="2AED46BB" w14:textId="77777777" w:rsidR="00F264C2" w:rsidRPr="00F264C2" w:rsidRDefault="00F264C2" w:rsidP="003D649F">
      <w:pPr>
        <w:spacing w:after="0" w:line="240" w:lineRule="auto"/>
        <w:rPr>
          <w:rFonts w:ascii="Arial" w:hAnsi="Arial" w:cs="Arial"/>
          <w:sz w:val="22"/>
          <w:szCs w:val="22"/>
        </w:rPr>
      </w:pPr>
      <w:r w:rsidRPr="00F264C2">
        <w:rPr>
          <w:rFonts w:ascii="Arial" w:hAnsi="Arial" w:cs="Arial"/>
          <w:sz w:val="22"/>
          <w:szCs w:val="22"/>
        </w:rPr>
        <w:t xml:space="preserve"> </w:t>
      </w:r>
    </w:p>
    <w:p w14:paraId="6BBF3D10" w14:textId="77777777" w:rsidR="00F264C2" w:rsidRPr="003D649F" w:rsidRDefault="00F264C2" w:rsidP="003D649F">
      <w:pPr>
        <w:spacing w:after="0" w:line="240" w:lineRule="auto"/>
        <w:rPr>
          <w:rFonts w:ascii="Arial" w:hAnsi="Arial" w:cs="Arial"/>
          <w:b/>
          <w:bCs/>
          <w:sz w:val="22"/>
          <w:szCs w:val="22"/>
        </w:rPr>
      </w:pPr>
      <w:r w:rsidRPr="003D649F">
        <w:rPr>
          <w:rFonts w:ascii="Arial" w:hAnsi="Arial" w:cs="Arial"/>
          <w:b/>
          <w:bCs/>
          <w:sz w:val="22"/>
          <w:szCs w:val="22"/>
        </w:rPr>
        <w:t>Teaching Experience</w:t>
      </w:r>
    </w:p>
    <w:p w14:paraId="22967371" w14:textId="77777777" w:rsidR="00F264C2" w:rsidRPr="00F264C2" w:rsidRDefault="00F264C2" w:rsidP="003D649F">
      <w:pPr>
        <w:spacing w:after="0" w:line="240" w:lineRule="auto"/>
        <w:rPr>
          <w:rFonts w:ascii="Arial" w:hAnsi="Arial" w:cs="Arial"/>
          <w:sz w:val="22"/>
          <w:szCs w:val="22"/>
        </w:rPr>
      </w:pPr>
      <w:r w:rsidRPr="00F264C2">
        <w:rPr>
          <w:rFonts w:ascii="Arial" w:hAnsi="Arial" w:cs="Arial"/>
          <w:sz w:val="22"/>
          <w:szCs w:val="22"/>
        </w:rPr>
        <w:t xml:space="preserve">Adjunct Faculty: General Biology I for Majors, Auh 2012 – Dec 2012 </w:t>
      </w:r>
    </w:p>
    <w:p w14:paraId="00D78DCC" w14:textId="77777777" w:rsidR="00F264C2" w:rsidRPr="003D649F" w:rsidRDefault="00F264C2" w:rsidP="003D649F">
      <w:pPr>
        <w:spacing w:after="0" w:line="240" w:lineRule="auto"/>
        <w:rPr>
          <w:rFonts w:ascii="Arial" w:hAnsi="Arial" w:cs="Arial"/>
          <w:i/>
          <w:iCs/>
          <w:sz w:val="22"/>
          <w:szCs w:val="22"/>
        </w:rPr>
      </w:pPr>
      <w:r w:rsidRPr="003D649F">
        <w:rPr>
          <w:rFonts w:ascii="Arial" w:hAnsi="Arial" w:cs="Arial"/>
          <w:i/>
          <w:iCs/>
          <w:sz w:val="22"/>
          <w:szCs w:val="22"/>
        </w:rPr>
        <w:t>Mesa Community College, Mesa, AZ</w:t>
      </w:r>
    </w:p>
    <w:p w14:paraId="6867731E" w14:textId="77777777" w:rsidR="00F264C2" w:rsidRPr="00F264C2" w:rsidRDefault="00F264C2" w:rsidP="003D649F">
      <w:pPr>
        <w:spacing w:after="0" w:line="240" w:lineRule="auto"/>
        <w:rPr>
          <w:rFonts w:ascii="Arial" w:hAnsi="Arial" w:cs="Arial"/>
          <w:sz w:val="22"/>
          <w:szCs w:val="22"/>
        </w:rPr>
      </w:pPr>
      <w:r w:rsidRPr="00F264C2">
        <w:rPr>
          <w:rFonts w:ascii="Arial" w:hAnsi="Arial" w:cs="Arial"/>
          <w:sz w:val="22"/>
          <w:szCs w:val="22"/>
        </w:rPr>
        <w:tab/>
        <w:t xml:space="preserve">  </w:t>
      </w:r>
      <w:r w:rsidRPr="00F264C2">
        <w:rPr>
          <w:rFonts w:ascii="Arial" w:hAnsi="Arial" w:cs="Arial"/>
          <w:sz w:val="22"/>
          <w:szCs w:val="22"/>
        </w:rPr>
        <w:tab/>
        <w:t xml:space="preserve"> </w:t>
      </w:r>
      <w:r w:rsidRPr="00F264C2">
        <w:rPr>
          <w:rFonts w:ascii="Arial" w:hAnsi="Arial" w:cs="Arial"/>
          <w:sz w:val="22"/>
          <w:szCs w:val="22"/>
        </w:rPr>
        <w:tab/>
        <w:t xml:space="preserve"> </w:t>
      </w:r>
      <w:r w:rsidRPr="00F264C2">
        <w:rPr>
          <w:rFonts w:ascii="Arial" w:hAnsi="Arial" w:cs="Arial"/>
          <w:sz w:val="22"/>
          <w:szCs w:val="22"/>
        </w:rPr>
        <w:tab/>
        <w:t xml:space="preserve">                                              </w:t>
      </w:r>
    </w:p>
    <w:p w14:paraId="63B845F3" w14:textId="62C146A6" w:rsidR="00F264C2" w:rsidRPr="00F264C2" w:rsidRDefault="00F264C2" w:rsidP="003D649F">
      <w:pPr>
        <w:spacing w:after="0" w:line="240" w:lineRule="auto"/>
        <w:rPr>
          <w:rFonts w:ascii="Arial" w:hAnsi="Arial" w:cs="Arial"/>
          <w:sz w:val="22"/>
          <w:szCs w:val="22"/>
        </w:rPr>
      </w:pPr>
      <w:r w:rsidRPr="00F264C2">
        <w:rPr>
          <w:rFonts w:ascii="Arial" w:hAnsi="Arial" w:cs="Arial"/>
          <w:sz w:val="22"/>
          <w:szCs w:val="22"/>
        </w:rPr>
        <w:t xml:space="preserve">Teaching Assistant: Microbiology and Biosciences I, Aug 2008 – Dec 2010 </w:t>
      </w:r>
    </w:p>
    <w:p w14:paraId="2F6070D7" w14:textId="77777777" w:rsidR="00F264C2" w:rsidRPr="003D649F" w:rsidRDefault="00F264C2" w:rsidP="003D649F">
      <w:pPr>
        <w:spacing w:after="0" w:line="240" w:lineRule="auto"/>
        <w:rPr>
          <w:rFonts w:ascii="Arial" w:hAnsi="Arial" w:cs="Arial"/>
          <w:i/>
          <w:iCs/>
          <w:sz w:val="22"/>
          <w:szCs w:val="22"/>
        </w:rPr>
      </w:pPr>
      <w:r w:rsidRPr="003D649F">
        <w:rPr>
          <w:rFonts w:ascii="Arial" w:hAnsi="Arial" w:cs="Arial"/>
          <w:i/>
          <w:iCs/>
          <w:sz w:val="22"/>
          <w:szCs w:val="22"/>
        </w:rPr>
        <w:t>University of Texas at San Antonio, TX</w:t>
      </w:r>
    </w:p>
    <w:p w14:paraId="207592FA" w14:textId="77777777" w:rsidR="00F264C2" w:rsidRPr="00F264C2" w:rsidRDefault="00F264C2" w:rsidP="00F264C2">
      <w:pPr>
        <w:rPr>
          <w:rFonts w:ascii="Arial" w:hAnsi="Arial" w:cs="Arial"/>
          <w:sz w:val="22"/>
          <w:szCs w:val="22"/>
        </w:rPr>
      </w:pPr>
      <w:r w:rsidRPr="00F264C2">
        <w:rPr>
          <w:rFonts w:ascii="Arial" w:hAnsi="Arial" w:cs="Arial"/>
          <w:sz w:val="22"/>
          <w:szCs w:val="22"/>
        </w:rPr>
        <w:t xml:space="preserve"> </w:t>
      </w:r>
    </w:p>
    <w:p w14:paraId="59944035" w14:textId="77777777" w:rsidR="00F264C2" w:rsidRPr="004609EE" w:rsidRDefault="00F264C2" w:rsidP="00F264C2">
      <w:pPr>
        <w:rPr>
          <w:rFonts w:ascii="Arial" w:hAnsi="Arial" w:cs="Arial"/>
          <w:b/>
          <w:bCs/>
          <w:sz w:val="22"/>
          <w:szCs w:val="22"/>
        </w:rPr>
      </w:pPr>
      <w:r w:rsidRPr="004609EE">
        <w:rPr>
          <w:rFonts w:ascii="Arial" w:hAnsi="Arial" w:cs="Arial"/>
          <w:b/>
          <w:bCs/>
          <w:sz w:val="22"/>
          <w:szCs w:val="22"/>
        </w:rPr>
        <w:t xml:space="preserve">PUBLICATIONS:  </w:t>
      </w:r>
    </w:p>
    <w:p w14:paraId="590D162C" w14:textId="77777777" w:rsidR="00E64026" w:rsidRDefault="00E64026" w:rsidP="00E64026">
      <w:pPr>
        <w:autoSpaceDE w:val="0"/>
        <w:autoSpaceDN w:val="0"/>
        <w:adjustRightInd w:val="0"/>
        <w:spacing w:after="0" w:line="240" w:lineRule="auto"/>
        <w:ind w:left="720" w:hanging="720"/>
        <w:rPr>
          <w:rFonts w:eastAsiaTheme="minorEastAsia" w:cs="Arial"/>
          <w:kern w:val="0"/>
          <w:szCs w:val="22"/>
        </w:rPr>
      </w:pPr>
      <w:r w:rsidRPr="00A22CA3">
        <w:rPr>
          <w:rFonts w:ascii="Arial" w:eastAsiaTheme="minorEastAsia" w:hAnsi="Arial" w:cs="Arial"/>
          <w:kern w:val="0"/>
          <w:sz w:val="22"/>
          <w:szCs w:val="22"/>
        </w:rPr>
        <w:t xml:space="preserve">Case, J. B., Sanapala, S., Dillen, C., Rhodes, V., </w:t>
      </w:r>
      <w:proofErr w:type="spellStart"/>
      <w:r w:rsidRPr="00A22CA3">
        <w:rPr>
          <w:rFonts w:ascii="Arial" w:eastAsiaTheme="minorEastAsia" w:hAnsi="Arial" w:cs="Arial"/>
          <w:kern w:val="0"/>
          <w:sz w:val="22"/>
          <w:szCs w:val="22"/>
        </w:rPr>
        <w:t>Zmasek</w:t>
      </w:r>
      <w:proofErr w:type="spellEnd"/>
      <w:r w:rsidRPr="00A22CA3">
        <w:rPr>
          <w:rFonts w:ascii="Arial" w:eastAsiaTheme="minorEastAsia" w:hAnsi="Arial" w:cs="Arial"/>
          <w:kern w:val="0"/>
          <w:sz w:val="22"/>
          <w:szCs w:val="22"/>
        </w:rPr>
        <w:t xml:space="preserve">, C., </w:t>
      </w:r>
      <w:proofErr w:type="spellStart"/>
      <w:r w:rsidRPr="00A22CA3">
        <w:rPr>
          <w:rFonts w:ascii="Arial" w:eastAsiaTheme="minorEastAsia" w:hAnsi="Arial" w:cs="Arial"/>
          <w:kern w:val="0"/>
          <w:sz w:val="22"/>
          <w:szCs w:val="22"/>
        </w:rPr>
        <w:t>Chicz</w:t>
      </w:r>
      <w:proofErr w:type="spellEnd"/>
      <w:r w:rsidRPr="00A22CA3">
        <w:rPr>
          <w:rFonts w:ascii="Arial" w:eastAsiaTheme="minorEastAsia" w:hAnsi="Arial" w:cs="Arial"/>
          <w:kern w:val="0"/>
          <w:sz w:val="22"/>
          <w:szCs w:val="22"/>
        </w:rPr>
        <w:t>, T. M., Switzer, C. E., Scheaffer, S. M., Georgiev, G., Jacob-Dolan, C., Hauser, B. M., Dos Anjos, D. C. C., Adams, L. J., Soudani, N., Liang, C. Y., Ying, B., McNamara, R. P., Scheuermann, R. H., Boon, A. C. M.,…Diamond, M. S. (2024). A trivalent mucosal vaccine encoding phylogenetically inferred ancestral RBD sequences confers pan-</w:t>
      </w:r>
      <w:proofErr w:type="spellStart"/>
      <w:r w:rsidRPr="00A22CA3">
        <w:rPr>
          <w:rFonts w:ascii="Arial" w:eastAsiaTheme="minorEastAsia" w:hAnsi="Arial" w:cs="Arial"/>
          <w:kern w:val="0"/>
          <w:sz w:val="22"/>
          <w:szCs w:val="22"/>
        </w:rPr>
        <w:t>Sarbecovirus</w:t>
      </w:r>
      <w:proofErr w:type="spellEnd"/>
      <w:r w:rsidRPr="00A22CA3">
        <w:rPr>
          <w:rFonts w:ascii="Arial" w:eastAsiaTheme="minorEastAsia" w:hAnsi="Arial" w:cs="Arial"/>
          <w:kern w:val="0"/>
          <w:sz w:val="22"/>
          <w:szCs w:val="22"/>
        </w:rPr>
        <w:t xml:space="preserve"> protection in mice. </w:t>
      </w:r>
      <w:r w:rsidRPr="00A22CA3">
        <w:rPr>
          <w:rFonts w:ascii="Arial" w:eastAsiaTheme="minorEastAsia" w:hAnsi="Arial" w:cs="Arial"/>
          <w:i/>
          <w:iCs/>
          <w:kern w:val="0"/>
          <w:sz w:val="22"/>
          <w:szCs w:val="22"/>
        </w:rPr>
        <w:t>Cell Host Microbe</w:t>
      </w:r>
      <w:r w:rsidRPr="00A22CA3">
        <w:rPr>
          <w:rFonts w:ascii="Arial" w:eastAsiaTheme="minorEastAsia" w:hAnsi="Arial" w:cs="Arial"/>
          <w:kern w:val="0"/>
          <w:sz w:val="22"/>
          <w:szCs w:val="22"/>
        </w:rPr>
        <w:t>,</w:t>
      </w:r>
      <w:r w:rsidRPr="00A22CA3">
        <w:rPr>
          <w:rFonts w:ascii="Arial" w:eastAsiaTheme="minorEastAsia" w:hAnsi="Arial" w:cs="Arial"/>
          <w:i/>
          <w:iCs/>
          <w:kern w:val="0"/>
          <w:sz w:val="22"/>
          <w:szCs w:val="22"/>
        </w:rPr>
        <w:t xml:space="preserve"> 32</w:t>
      </w:r>
      <w:r w:rsidRPr="00A22CA3">
        <w:rPr>
          <w:rFonts w:ascii="Arial" w:eastAsiaTheme="minorEastAsia" w:hAnsi="Arial" w:cs="Arial"/>
          <w:kern w:val="0"/>
          <w:sz w:val="22"/>
          <w:szCs w:val="22"/>
        </w:rPr>
        <w:t xml:space="preserve">(12), 2131–2147 e2138. https://doi.org/10.1016/j.chom.2024.10.016 </w:t>
      </w:r>
    </w:p>
    <w:p w14:paraId="66188434" w14:textId="77777777" w:rsidR="00E64026" w:rsidRPr="00A22CA3" w:rsidRDefault="00E64026" w:rsidP="00E64026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Arial" w:eastAsiaTheme="minorEastAsia" w:hAnsi="Arial" w:cs="Arial"/>
          <w:kern w:val="0"/>
          <w:sz w:val="22"/>
          <w:szCs w:val="22"/>
        </w:rPr>
      </w:pPr>
    </w:p>
    <w:p w14:paraId="5594A026" w14:textId="77777777" w:rsidR="00E64026" w:rsidRPr="00A22CA3" w:rsidRDefault="00E64026" w:rsidP="00E64026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Arial" w:eastAsiaTheme="minorEastAsia" w:hAnsi="Arial" w:cs="Arial"/>
          <w:kern w:val="0"/>
          <w:sz w:val="22"/>
          <w:szCs w:val="22"/>
        </w:rPr>
      </w:pPr>
      <w:r w:rsidRPr="00A22CA3">
        <w:rPr>
          <w:rFonts w:ascii="Arial" w:eastAsiaTheme="minorEastAsia" w:hAnsi="Arial" w:cs="Arial"/>
          <w:kern w:val="0"/>
          <w:sz w:val="22"/>
          <w:szCs w:val="22"/>
        </w:rPr>
        <w:t xml:space="preserve">Lee, J., Case, J. B., Park, Y. J., Ravichandran, R., </w:t>
      </w:r>
      <w:proofErr w:type="spellStart"/>
      <w:r w:rsidRPr="00A22CA3">
        <w:rPr>
          <w:rFonts w:ascii="Arial" w:eastAsiaTheme="minorEastAsia" w:hAnsi="Arial" w:cs="Arial"/>
          <w:kern w:val="0"/>
          <w:sz w:val="22"/>
          <w:szCs w:val="22"/>
        </w:rPr>
        <w:t>Asarnow</w:t>
      </w:r>
      <w:proofErr w:type="spellEnd"/>
      <w:r w:rsidRPr="00A22CA3">
        <w:rPr>
          <w:rFonts w:ascii="Arial" w:eastAsiaTheme="minorEastAsia" w:hAnsi="Arial" w:cs="Arial"/>
          <w:kern w:val="0"/>
          <w:sz w:val="22"/>
          <w:szCs w:val="22"/>
        </w:rPr>
        <w:t xml:space="preserve">, D., Tortorici, M. A., Brown, J. T., Sanapala, S., Carter, L., Baker, D., Diamond, M. S., &amp; </w:t>
      </w:r>
      <w:proofErr w:type="spellStart"/>
      <w:r w:rsidRPr="00A22CA3">
        <w:rPr>
          <w:rFonts w:ascii="Arial" w:eastAsiaTheme="minorEastAsia" w:hAnsi="Arial" w:cs="Arial"/>
          <w:kern w:val="0"/>
          <w:sz w:val="22"/>
          <w:szCs w:val="22"/>
        </w:rPr>
        <w:t>Veesler</w:t>
      </w:r>
      <w:proofErr w:type="spellEnd"/>
      <w:r w:rsidRPr="00A22CA3">
        <w:rPr>
          <w:rFonts w:ascii="Arial" w:eastAsiaTheme="minorEastAsia" w:hAnsi="Arial" w:cs="Arial"/>
          <w:kern w:val="0"/>
          <w:sz w:val="22"/>
          <w:szCs w:val="22"/>
        </w:rPr>
        <w:t xml:space="preserve">, D. (2024). A pan-variant </w:t>
      </w:r>
      <w:proofErr w:type="spellStart"/>
      <w:r w:rsidRPr="00A22CA3">
        <w:rPr>
          <w:rFonts w:ascii="Arial" w:eastAsiaTheme="minorEastAsia" w:hAnsi="Arial" w:cs="Arial"/>
          <w:kern w:val="0"/>
          <w:sz w:val="22"/>
          <w:szCs w:val="22"/>
        </w:rPr>
        <w:t>miniprotein</w:t>
      </w:r>
      <w:proofErr w:type="spellEnd"/>
      <w:r w:rsidRPr="00A22CA3">
        <w:rPr>
          <w:rFonts w:ascii="Arial" w:eastAsiaTheme="minorEastAsia" w:hAnsi="Arial" w:cs="Arial"/>
          <w:kern w:val="0"/>
          <w:sz w:val="22"/>
          <w:szCs w:val="22"/>
        </w:rPr>
        <w:t xml:space="preserve"> inhibitor protects against SARS-CoV-2 variants. </w:t>
      </w:r>
      <w:proofErr w:type="spellStart"/>
      <w:r w:rsidRPr="00A22CA3">
        <w:rPr>
          <w:rFonts w:ascii="Arial" w:eastAsiaTheme="minorEastAsia" w:hAnsi="Arial" w:cs="Arial"/>
          <w:kern w:val="0"/>
          <w:sz w:val="22"/>
          <w:szCs w:val="22"/>
        </w:rPr>
        <w:t>bioRxiv</w:t>
      </w:r>
      <w:proofErr w:type="spellEnd"/>
      <w:r w:rsidRPr="00A22CA3">
        <w:rPr>
          <w:rFonts w:ascii="Arial" w:eastAsiaTheme="minorEastAsia" w:hAnsi="Arial" w:cs="Arial"/>
          <w:kern w:val="0"/>
          <w:sz w:val="22"/>
          <w:szCs w:val="22"/>
        </w:rPr>
        <w:t>. https://doi.org/10.1101/2024.08.08.606885</w:t>
      </w:r>
      <w:r w:rsidRPr="00A22CA3">
        <w:rPr>
          <w:rFonts w:ascii="Arial" w:eastAsiaTheme="minorEastAsia" w:hAnsi="Arial" w:cs="Arial"/>
          <w:kern w:val="0"/>
          <w:sz w:val="22"/>
          <w:szCs w:val="22"/>
        </w:rPr>
        <w:tab/>
      </w:r>
    </w:p>
    <w:p w14:paraId="41D0A2CD" w14:textId="77777777" w:rsidR="00E64026" w:rsidRDefault="00E64026" w:rsidP="00E64026">
      <w:pPr>
        <w:autoSpaceDE w:val="0"/>
        <w:autoSpaceDN w:val="0"/>
        <w:adjustRightInd w:val="0"/>
        <w:spacing w:after="0" w:line="240" w:lineRule="auto"/>
        <w:rPr>
          <w:rFonts w:ascii="Helvetica Neue" w:eastAsiaTheme="minorEastAsia" w:hAnsi="Helvetica Neue" w:cs="Helvetica Neue"/>
          <w:kern w:val="0"/>
          <w:sz w:val="28"/>
          <w:szCs w:val="28"/>
        </w:rPr>
      </w:pPr>
    </w:p>
    <w:p w14:paraId="7C0279DF" w14:textId="77777777" w:rsidR="00E64026" w:rsidRDefault="00E64026" w:rsidP="00E64026">
      <w:pPr>
        <w:autoSpaceDE w:val="0"/>
        <w:autoSpaceDN w:val="0"/>
        <w:adjustRightInd w:val="0"/>
        <w:spacing w:after="0" w:line="240" w:lineRule="auto"/>
        <w:ind w:right="-720"/>
        <w:rPr>
          <w:rFonts w:ascii="Helvetica Neue" w:eastAsiaTheme="minorEastAsia" w:hAnsi="Helvetica Neue" w:cs="Helvetica Neue"/>
          <w:kern w:val="0"/>
          <w:sz w:val="28"/>
          <w:szCs w:val="28"/>
        </w:rPr>
      </w:pPr>
    </w:p>
    <w:p w14:paraId="060A5355" w14:textId="77777777" w:rsidR="00E64026" w:rsidRDefault="00E64026" w:rsidP="00E64026">
      <w:pPr>
        <w:autoSpaceDE w:val="0"/>
        <w:autoSpaceDN w:val="0"/>
        <w:adjustRightInd w:val="0"/>
        <w:spacing w:after="0" w:line="240" w:lineRule="auto"/>
        <w:ind w:left="720" w:right="-720" w:hanging="720"/>
        <w:rPr>
          <w:rFonts w:ascii="Helvetica Neue" w:eastAsiaTheme="minorEastAsia" w:hAnsi="Helvetica Neue" w:cs="Helvetica Neue"/>
          <w:kern w:val="0"/>
          <w:sz w:val="28"/>
          <w:szCs w:val="28"/>
        </w:rPr>
      </w:pPr>
      <w:r>
        <w:rPr>
          <w:rFonts w:ascii="Helvetica Neue" w:eastAsiaTheme="minorEastAsia" w:hAnsi="Helvetica Neue" w:cs="Helvetica Neue"/>
          <w:kern w:val="0"/>
          <w:sz w:val="28"/>
          <w:szCs w:val="28"/>
        </w:rPr>
        <w:tab/>
      </w:r>
    </w:p>
    <w:p w14:paraId="552B85F8" w14:textId="77777777" w:rsidR="00E64026" w:rsidRDefault="00E64026" w:rsidP="00E64026">
      <w:pPr>
        <w:autoSpaceDE w:val="0"/>
        <w:autoSpaceDN w:val="0"/>
        <w:adjustRightInd w:val="0"/>
        <w:spacing w:after="0" w:line="240" w:lineRule="auto"/>
        <w:ind w:right="-720"/>
        <w:rPr>
          <w:rFonts w:ascii="Helvetica Neue" w:eastAsiaTheme="minorEastAsia" w:hAnsi="Helvetica Neue" w:cs="Helvetica Neue"/>
          <w:kern w:val="0"/>
          <w:sz w:val="28"/>
          <w:szCs w:val="28"/>
        </w:rPr>
      </w:pPr>
    </w:p>
    <w:p w14:paraId="01BF6DBD" w14:textId="77777777" w:rsidR="00E64026" w:rsidRDefault="00E64026" w:rsidP="00E64026">
      <w:pPr>
        <w:spacing w:after="0" w:line="259" w:lineRule="auto"/>
        <w:ind w:left="30"/>
      </w:pPr>
    </w:p>
    <w:p w14:paraId="27E19BB1" w14:textId="77777777" w:rsidR="00E64026" w:rsidRPr="00A22CA3" w:rsidRDefault="00E64026" w:rsidP="00E64026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Arial" w:eastAsiaTheme="minorEastAsia" w:hAnsi="Arial" w:cs="Arial"/>
          <w:kern w:val="0"/>
          <w:sz w:val="22"/>
          <w:szCs w:val="22"/>
        </w:rPr>
      </w:pPr>
      <w:r w:rsidRPr="00A22CA3">
        <w:rPr>
          <w:rFonts w:ascii="Arial" w:eastAsiaTheme="minorEastAsia" w:hAnsi="Arial" w:cs="Arial"/>
          <w:kern w:val="0"/>
          <w:sz w:val="22"/>
          <w:szCs w:val="22"/>
        </w:rPr>
        <w:t xml:space="preserve">Wamhoff, E. C., Ronsard, L., Feldman, J., Knappe, G. A., Hauser, B. M., Romanov, A., Case, J. B., Sanapala, S., Lam, E. C., Denis, K. J. S., </w:t>
      </w:r>
      <w:proofErr w:type="spellStart"/>
      <w:r w:rsidRPr="00A22CA3">
        <w:rPr>
          <w:rFonts w:ascii="Arial" w:eastAsiaTheme="minorEastAsia" w:hAnsi="Arial" w:cs="Arial"/>
          <w:kern w:val="0"/>
          <w:sz w:val="22"/>
          <w:szCs w:val="22"/>
        </w:rPr>
        <w:t>Boucau</w:t>
      </w:r>
      <w:proofErr w:type="spellEnd"/>
      <w:r w:rsidRPr="00A22CA3">
        <w:rPr>
          <w:rFonts w:ascii="Arial" w:eastAsiaTheme="minorEastAsia" w:hAnsi="Arial" w:cs="Arial"/>
          <w:kern w:val="0"/>
          <w:sz w:val="22"/>
          <w:szCs w:val="22"/>
        </w:rPr>
        <w:t xml:space="preserve">, J., Barczak, A. K., Balazs, A. B., Diamond, M. S., Schmidt, A. G., </w:t>
      </w:r>
      <w:proofErr w:type="spellStart"/>
      <w:r w:rsidRPr="00A22CA3">
        <w:rPr>
          <w:rFonts w:ascii="Arial" w:eastAsiaTheme="minorEastAsia" w:hAnsi="Arial" w:cs="Arial"/>
          <w:kern w:val="0"/>
          <w:sz w:val="22"/>
          <w:szCs w:val="22"/>
        </w:rPr>
        <w:t>Lingwood</w:t>
      </w:r>
      <w:proofErr w:type="spellEnd"/>
      <w:r w:rsidRPr="00A22CA3">
        <w:rPr>
          <w:rFonts w:ascii="Arial" w:eastAsiaTheme="minorEastAsia" w:hAnsi="Arial" w:cs="Arial"/>
          <w:kern w:val="0"/>
          <w:sz w:val="22"/>
          <w:szCs w:val="22"/>
        </w:rPr>
        <w:t xml:space="preserve">, D., &amp; Bathe, M. (2024). Enhancing antibody responses by multivalent antigen display on thymus-independent DNA origami scaffolds. </w:t>
      </w:r>
      <w:r w:rsidRPr="00A22CA3">
        <w:rPr>
          <w:rFonts w:ascii="Arial" w:eastAsiaTheme="minorEastAsia" w:hAnsi="Arial" w:cs="Arial"/>
          <w:i/>
          <w:iCs/>
          <w:kern w:val="0"/>
          <w:sz w:val="22"/>
          <w:szCs w:val="22"/>
        </w:rPr>
        <w:t>Nat Commun</w:t>
      </w:r>
      <w:r w:rsidRPr="00A22CA3">
        <w:rPr>
          <w:rFonts w:ascii="Arial" w:eastAsiaTheme="minorEastAsia" w:hAnsi="Arial" w:cs="Arial"/>
          <w:kern w:val="0"/>
          <w:sz w:val="22"/>
          <w:szCs w:val="22"/>
        </w:rPr>
        <w:t>,</w:t>
      </w:r>
      <w:r w:rsidRPr="00A22CA3">
        <w:rPr>
          <w:rFonts w:ascii="Arial" w:eastAsiaTheme="minorEastAsia" w:hAnsi="Arial" w:cs="Arial"/>
          <w:i/>
          <w:iCs/>
          <w:kern w:val="0"/>
          <w:sz w:val="22"/>
          <w:szCs w:val="22"/>
        </w:rPr>
        <w:t xml:space="preserve"> 15</w:t>
      </w:r>
      <w:r w:rsidRPr="00A22CA3">
        <w:rPr>
          <w:rFonts w:ascii="Arial" w:eastAsiaTheme="minorEastAsia" w:hAnsi="Arial" w:cs="Arial"/>
          <w:kern w:val="0"/>
          <w:sz w:val="22"/>
          <w:szCs w:val="22"/>
        </w:rPr>
        <w:t xml:space="preserve">(1), 795. https://doi.org/10.1038/s41467-024-44869-0 </w:t>
      </w:r>
    </w:p>
    <w:p w14:paraId="151E9957" w14:textId="77777777" w:rsidR="00E64026" w:rsidRPr="009A7401" w:rsidRDefault="00E64026" w:rsidP="00E64026">
      <w:pPr>
        <w:spacing w:after="7" w:line="240" w:lineRule="auto"/>
        <w:ind w:left="390"/>
        <w:rPr>
          <w:rFonts w:cs="Arial"/>
          <w:szCs w:val="22"/>
        </w:rPr>
      </w:pPr>
      <w:r w:rsidRPr="009A7401">
        <w:rPr>
          <w:rFonts w:cs="Arial"/>
          <w:szCs w:val="22"/>
        </w:rPr>
        <w:t xml:space="preserve"> </w:t>
      </w:r>
    </w:p>
    <w:p w14:paraId="51ED6663" w14:textId="77777777" w:rsidR="00E64026" w:rsidRPr="00A22CA3" w:rsidRDefault="00E64026" w:rsidP="00E64026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Arial" w:eastAsiaTheme="minorEastAsia" w:hAnsi="Arial" w:cs="Arial"/>
          <w:kern w:val="0"/>
          <w:sz w:val="22"/>
          <w:szCs w:val="22"/>
        </w:rPr>
      </w:pPr>
      <w:r w:rsidRPr="00A22CA3">
        <w:rPr>
          <w:rFonts w:ascii="Arial" w:eastAsiaTheme="minorEastAsia" w:hAnsi="Arial" w:cs="Arial"/>
          <w:kern w:val="0"/>
          <w:sz w:val="22"/>
          <w:szCs w:val="22"/>
        </w:rPr>
        <w:t xml:space="preserve">Case, J. B., Scheaffer, S. M., Darling, T. L., Bricker, T. L., Adams, L. J., </w:t>
      </w:r>
      <w:proofErr w:type="spellStart"/>
      <w:r w:rsidRPr="00A22CA3">
        <w:rPr>
          <w:rFonts w:ascii="Arial" w:eastAsiaTheme="minorEastAsia" w:hAnsi="Arial" w:cs="Arial"/>
          <w:kern w:val="0"/>
          <w:sz w:val="22"/>
          <w:szCs w:val="22"/>
        </w:rPr>
        <w:t>Harastani</w:t>
      </w:r>
      <w:proofErr w:type="spellEnd"/>
      <w:r w:rsidRPr="00A22CA3">
        <w:rPr>
          <w:rFonts w:ascii="Arial" w:eastAsiaTheme="minorEastAsia" w:hAnsi="Arial" w:cs="Arial"/>
          <w:kern w:val="0"/>
          <w:sz w:val="22"/>
          <w:szCs w:val="22"/>
        </w:rPr>
        <w:t xml:space="preserve">, H., Trende, R., Sanapala, S., Fremont, D. H., Boon, A. C. M., &amp; Diamond, M. S. (2023). Characterization of the SARS-CoV-2 BA.5.5 and BQ.1.1 Omicron Variants in Mice and Hamsters. </w:t>
      </w:r>
      <w:proofErr w:type="spellStart"/>
      <w:r w:rsidRPr="00A22CA3">
        <w:rPr>
          <w:rFonts w:ascii="Arial" w:eastAsiaTheme="minorEastAsia" w:hAnsi="Arial" w:cs="Arial"/>
          <w:i/>
          <w:iCs/>
          <w:kern w:val="0"/>
          <w:sz w:val="22"/>
          <w:szCs w:val="22"/>
        </w:rPr>
        <w:t>bioRxiv</w:t>
      </w:r>
      <w:proofErr w:type="spellEnd"/>
      <w:r w:rsidRPr="00A22CA3">
        <w:rPr>
          <w:rFonts w:ascii="Arial" w:eastAsiaTheme="minorEastAsia" w:hAnsi="Arial" w:cs="Arial"/>
          <w:kern w:val="0"/>
          <w:sz w:val="22"/>
          <w:szCs w:val="22"/>
        </w:rPr>
        <w:t xml:space="preserve">. https://doi.org/10.1101/2023.04.28.538747 </w:t>
      </w:r>
    </w:p>
    <w:p w14:paraId="1B7DBE42" w14:textId="77777777" w:rsidR="00E64026" w:rsidRDefault="00E64026" w:rsidP="00E64026">
      <w:pPr>
        <w:spacing w:after="8" w:line="240" w:lineRule="auto"/>
        <w:ind w:left="30"/>
      </w:pPr>
      <w:r>
        <w:t xml:space="preserve"> </w:t>
      </w:r>
    </w:p>
    <w:p w14:paraId="41F898BB" w14:textId="77777777" w:rsidR="00E64026" w:rsidRPr="00A22CA3" w:rsidRDefault="00E64026" w:rsidP="00E64026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Arial" w:eastAsiaTheme="minorEastAsia" w:hAnsi="Arial" w:cs="Arial"/>
          <w:kern w:val="0"/>
          <w:sz w:val="22"/>
          <w:szCs w:val="22"/>
        </w:rPr>
      </w:pPr>
      <w:proofErr w:type="spellStart"/>
      <w:r w:rsidRPr="00A22CA3">
        <w:rPr>
          <w:rFonts w:ascii="Arial" w:eastAsiaTheme="minorEastAsia" w:hAnsi="Arial" w:cs="Arial"/>
          <w:kern w:val="0"/>
          <w:sz w:val="22"/>
          <w:szCs w:val="22"/>
        </w:rPr>
        <w:t>Anastasaki</w:t>
      </w:r>
      <w:proofErr w:type="spellEnd"/>
      <w:r w:rsidRPr="00A22CA3">
        <w:rPr>
          <w:rFonts w:ascii="Arial" w:eastAsiaTheme="minorEastAsia" w:hAnsi="Arial" w:cs="Arial"/>
          <w:kern w:val="0"/>
          <w:sz w:val="22"/>
          <w:szCs w:val="22"/>
        </w:rPr>
        <w:t xml:space="preserve">, C., Chatterjee, J., Cobb, O., Sanapala, S., Scheaffer, S. M., De Andrade Costa, A., Wilson, A. F., Kernan, C. M., Zafar, A. H., Ge, X., Garbow, J. R., Rodriguez, F. J., &amp; Gutmann, D. H. (2022). Human induced pluripotent stem cell engineering establishes a humanized mouse platform for pediatric low-grade glioma modeling. </w:t>
      </w:r>
      <w:r w:rsidRPr="00A22CA3">
        <w:rPr>
          <w:rFonts w:ascii="Arial" w:eastAsiaTheme="minorEastAsia" w:hAnsi="Arial" w:cs="Arial"/>
          <w:i/>
          <w:iCs/>
          <w:kern w:val="0"/>
          <w:sz w:val="22"/>
          <w:szCs w:val="22"/>
        </w:rPr>
        <w:t xml:space="preserve">Acta </w:t>
      </w:r>
      <w:proofErr w:type="spellStart"/>
      <w:r w:rsidRPr="00A22CA3">
        <w:rPr>
          <w:rFonts w:ascii="Arial" w:eastAsiaTheme="minorEastAsia" w:hAnsi="Arial" w:cs="Arial"/>
          <w:i/>
          <w:iCs/>
          <w:kern w:val="0"/>
          <w:sz w:val="22"/>
          <w:szCs w:val="22"/>
        </w:rPr>
        <w:t>Neuropathol</w:t>
      </w:r>
      <w:proofErr w:type="spellEnd"/>
      <w:r w:rsidRPr="00A22CA3">
        <w:rPr>
          <w:rFonts w:ascii="Arial" w:eastAsiaTheme="minorEastAsia" w:hAnsi="Arial" w:cs="Arial"/>
          <w:i/>
          <w:iCs/>
          <w:kern w:val="0"/>
          <w:sz w:val="22"/>
          <w:szCs w:val="22"/>
        </w:rPr>
        <w:t xml:space="preserve"> Commun</w:t>
      </w:r>
      <w:r w:rsidRPr="00A22CA3">
        <w:rPr>
          <w:rFonts w:ascii="Arial" w:eastAsiaTheme="minorEastAsia" w:hAnsi="Arial" w:cs="Arial"/>
          <w:kern w:val="0"/>
          <w:sz w:val="22"/>
          <w:szCs w:val="22"/>
        </w:rPr>
        <w:t>,</w:t>
      </w:r>
      <w:r w:rsidRPr="00A22CA3">
        <w:rPr>
          <w:rFonts w:ascii="Arial" w:eastAsiaTheme="minorEastAsia" w:hAnsi="Arial" w:cs="Arial"/>
          <w:i/>
          <w:iCs/>
          <w:kern w:val="0"/>
          <w:sz w:val="22"/>
          <w:szCs w:val="22"/>
        </w:rPr>
        <w:t xml:space="preserve"> 10</w:t>
      </w:r>
      <w:r w:rsidRPr="00A22CA3">
        <w:rPr>
          <w:rFonts w:ascii="Arial" w:eastAsiaTheme="minorEastAsia" w:hAnsi="Arial" w:cs="Arial"/>
          <w:kern w:val="0"/>
          <w:sz w:val="22"/>
          <w:szCs w:val="22"/>
        </w:rPr>
        <w:t xml:space="preserve">(1), 120. https://doi.org/10.1186/s40478-022-01428-2 </w:t>
      </w:r>
    </w:p>
    <w:p w14:paraId="790824F5" w14:textId="77777777" w:rsidR="00E64026" w:rsidRPr="004F29D9" w:rsidRDefault="00E64026" w:rsidP="00E64026">
      <w:pPr>
        <w:spacing w:after="7" w:line="240" w:lineRule="auto"/>
        <w:ind w:left="390"/>
        <w:rPr>
          <w:rFonts w:cs="Arial"/>
          <w:szCs w:val="22"/>
        </w:rPr>
      </w:pPr>
      <w:r w:rsidRPr="004F29D9">
        <w:rPr>
          <w:rFonts w:cs="Arial"/>
          <w:szCs w:val="22"/>
        </w:rPr>
        <w:t xml:space="preserve"> </w:t>
      </w:r>
    </w:p>
    <w:p w14:paraId="487EC1D7" w14:textId="77777777" w:rsidR="00E64026" w:rsidRPr="00A22CA3" w:rsidRDefault="00E64026" w:rsidP="00E64026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Arial" w:eastAsiaTheme="minorEastAsia" w:hAnsi="Arial" w:cs="Arial"/>
          <w:kern w:val="0"/>
          <w:sz w:val="22"/>
          <w:szCs w:val="22"/>
        </w:rPr>
      </w:pPr>
      <w:r w:rsidRPr="00A22CA3">
        <w:rPr>
          <w:rFonts w:ascii="Arial" w:eastAsiaTheme="minorEastAsia" w:hAnsi="Arial" w:cs="Arial"/>
          <w:kern w:val="0"/>
          <w:sz w:val="22"/>
          <w:szCs w:val="22"/>
        </w:rPr>
        <w:t xml:space="preserve">De Andrade Costa, A., Chatterjee, J., Cobb, O., Sanapala, S., Scheaffer, S., Guo, X., Dahiya, S., &amp; Gutmann, D. H. (2022). RNA sequence analysis reveals ITGAL/CD11A as a stromal regulator of murine low-grade glioma growth. </w:t>
      </w:r>
      <w:r w:rsidRPr="00A22CA3">
        <w:rPr>
          <w:rFonts w:ascii="Arial" w:eastAsiaTheme="minorEastAsia" w:hAnsi="Arial" w:cs="Arial"/>
          <w:i/>
          <w:iCs/>
          <w:kern w:val="0"/>
          <w:sz w:val="22"/>
          <w:szCs w:val="22"/>
        </w:rPr>
        <w:t>Neuro Oncol</w:t>
      </w:r>
      <w:r w:rsidRPr="00A22CA3">
        <w:rPr>
          <w:rFonts w:ascii="Arial" w:eastAsiaTheme="minorEastAsia" w:hAnsi="Arial" w:cs="Arial"/>
          <w:kern w:val="0"/>
          <w:sz w:val="22"/>
          <w:szCs w:val="22"/>
        </w:rPr>
        <w:t>,</w:t>
      </w:r>
      <w:r w:rsidRPr="00A22CA3">
        <w:rPr>
          <w:rFonts w:ascii="Arial" w:eastAsiaTheme="minorEastAsia" w:hAnsi="Arial" w:cs="Arial"/>
          <w:i/>
          <w:iCs/>
          <w:kern w:val="0"/>
          <w:sz w:val="22"/>
          <w:szCs w:val="22"/>
        </w:rPr>
        <w:t xml:space="preserve"> 24</w:t>
      </w:r>
      <w:r w:rsidRPr="00A22CA3">
        <w:rPr>
          <w:rFonts w:ascii="Arial" w:eastAsiaTheme="minorEastAsia" w:hAnsi="Arial" w:cs="Arial"/>
          <w:kern w:val="0"/>
          <w:sz w:val="22"/>
          <w:szCs w:val="22"/>
        </w:rPr>
        <w:t xml:space="preserve">(1), 14–26. https://doi.org/10.1093/neuonc/noab130 </w:t>
      </w:r>
    </w:p>
    <w:p w14:paraId="41DF3217" w14:textId="77777777" w:rsidR="00E64026" w:rsidRPr="004F29D9" w:rsidRDefault="00E64026" w:rsidP="00E64026">
      <w:pPr>
        <w:spacing w:after="7" w:line="240" w:lineRule="auto"/>
        <w:ind w:left="30"/>
        <w:rPr>
          <w:rFonts w:cs="Arial"/>
          <w:szCs w:val="22"/>
        </w:rPr>
      </w:pPr>
      <w:r w:rsidRPr="004F29D9">
        <w:rPr>
          <w:rFonts w:cs="Arial"/>
          <w:szCs w:val="22"/>
        </w:rPr>
        <w:t xml:space="preserve"> </w:t>
      </w:r>
    </w:p>
    <w:p w14:paraId="2A918628" w14:textId="77777777" w:rsidR="00E64026" w:rsidRPr="00A22CA3" w:rsidRDefault="00E64026" w:rsidP="00E64026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Arial" w:eastAsiaTheme="minorEastAsia" w:hAnsi="Arial" w:cs="Arial"/>
          <w:kern w:val="0"/>
          <w:sz w:val="22"/>
          <w:szCs w:val="22"/>
        </w:rPr>
      </w:pPr>
      <w:r w:rsidRPr="00A22CA3">
        <w:rPr>
          <w:rFonts w:ascii="Arial" w:eastAsiaTheme="minorEastAsia" w:hAnsi="Arial" w:cs="Arial"/>
          <w:kern w:val="0"/>
          <w:sz w:val="22"/>
          <w:szCs w:val="22"/>
        </w:rPr>
        <w:t xml:space="preserve">Chatterjee, J., Sanapala, S., Cobb, O., Bewley, A., Goldstein, A. K., Cordell, E., Ge, X., Garbow, J. R., Holtzman, M. J., &amp; Gutmann, D. H. (2021). Asthma reduces glioma formation by T cell </w:t>
      </w:r>
      <w:proofErr w:type="spellStart"/>
      <w:r w:rsidRPr="00A22CA3">
        <w:rPr>
          <w:rFonts w:ascii="Arial" w:eastAsiaTheme="minorEastAsia" w:hAnsi="Arial" w:cs="Arial"/>
          <w:kern w:val="0"/>
          <w:sz w:val="22"/>
          <w:szCs w:val="22"/>
        </w:rPr>
        <w:t>decorin</w:t>
      </w:r>
      <w:proofErr w:type="spellEnd"/>
      <w:r w:rsidRPr="00A22CA3">
        <w:rPr>
          <w:rFonts w:ascii="Arial" w:eastAsiaTheme="minorEastAsia" w:hAnsi="Arial" w:cs="Arial"/>
          <w:kern w:val="0"/>
          <w:sz w:val="22"/>
          <w:szCs w:val="22"/>
        </w:rPr>
        <w:t xml:space="preserve">-mediated inhibition of microglia. </w:t>
      </w:r>
      <w:r w:rsidRPr="00A22CA3">
        <w:rPr>
          <w:rFonts w:ascii="Arial" w:eastAsiaTheme="minorEastAsia" w:hAnsi="Arial" w:cs="Arial"/>
          <w:i/>
          <w:iCs/>
          <w:kern w:val="0"/>
          <w:sz w:val="22"/>
          <w:szCs w:val="22"/>
        </w:rPr>
        <w:t>Nat Commun</w:t>
      </w:r>
      <w:r w:rsidRPr="00A22CA3">
        <w:rPr>
          <w:rFonts w:ascii="Arial" w:eastAsiaTheme="minorEastAsia" w:hAnsi="Arial" w:cs="Arial"/>
          <w:kern w:val="0"/>
          <w:sz w:val="22"/>
          <w:szCs w:val="22"/>
        </w:rPr>
        <w:t>,</w:t>
      </w:r>
      <w:r w:rsidRPr="00A22CA3">
        <w:rPr>
          <w:rFonts w:ascii="Arial" w:eastAsiaTheme="minorEastAsia" w:hAnsi="Arial" w:cs="Arial"/>
          <w:i/>
          <w:iCs/>
          <w:kern w:val="0"/>
          <w:sz w:val="22"/>
          <w:szCs w:val="22"/>
        </w:rPr>
        <w:t xml:space="preserve"> 12</w:t>
      </w:r>
      <w:r w:rsidRPr="00A22CA3">
        <w:rPr>
          <w:rFonts w:ascii="Arial" w:eastAsiaTheme="minorEastAsia" w:hAnsi="Arial" w:cs="Arial"/>
          <w:kern w:val="0"/>
          <w:sz w:val="22"/>
          <w:szCs w:val="22"/>
        </w:rPr>
        <w:t xml:space="preserve">(1), 7122. https://doi.org/10.1038/s41467-021-27455-6 </w:t>
      </w:r>
    </w:p>
    <w:p w14:paraId="2BD4724B" w14:textId="77777777" w:rsidR="00E64026" w:rsidRPr="004F29D9" w:rsidRDefault="00E64026" w:rsidP="00E64026">
      <w:pPr>
        <w:spacing w:after="7" w:line="240" w:lineRule="auto"/>
        <w:ind w:left="30"/>
        <w:rPr>
          <w:rFonts w:cs="Arial"/>
          <w:szCs w:val="22"/>
        </w:rPr>
      </w:pPr>
      <w:r w:rsidRPr="004F29D9">
        <w:rPr>
          <w:rFonts w:cs="Arial"/>
          <w:szCs w:val="22"/>
        </w:rPr>
        <w:t xml:space="preserve"> </w:t>
      </w:r>
    </w:p>
    <w:p w14:paraId="10315ED9" w14:textId="77777777" w:rsidR="00E64026" w:rsidRPr="00A22CA3" w:rsidRDefault="00E64026" w:rsidP="00E64026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Arial" w:eastAsiaTheme="minorEastAsia" w:hAnsi="Arial" w:cs="Arial"/>
          <w:kern w:val="0"/>
          <w:sz w:val="22"/>
          <w:szCs w:val="22"/>
        </w:rPr>
      </w:pPr>
      <w:r w:rsidRPr="00A22CA3">
        <w:rPr>
          <w:rFonts w:ascii="Arial" w:eastAsiaTheme="minorEastAsia" w:hAnsi="Arial" w:cs="Arial"/>
          <w:kern w:val="0"/>
          <w:sz w:val="22"/>
          <w:szCs w:val="22"/>
        </w:rPr>
        <w:t xml:space="preserve">Guo, X., Pan, Y., Xiong, M., Sanapala, S., </w:t>
      </w:r>
      <w:proofErr w:type="spellStart"/>
      <w:r w:rsidRPr="00A22CA3">
        <w:rPr>
          <w:rFonts w:ascii="Arial" w:eastAsiaTheme="minorEastAsia" w:hAnsi="Arial" w:cs="Arial"/>
          <w:kern w:val="0"/>
          <w:sz w:val="22"/>
          <w:szCs w:val="22"/>
        </w:rPr>
        <w:t>Anastasaki</w:t>
      </w:r>
      <w:proofErr w:type="spellEnd"/>
      <w:r w:rsidRPr="00A22CA3">
        <w:rPr>
          <w:rFonts w:ascii="Arial" w:eastAsiaTheme="minorEastAsia" w:hAnsi="Arial" w:cs="Arial"/>
          <w:kern w:val="0"/>
          <w:sz w:val="22"/>
          <w:szCs w:val="22"/>
        </w:rPr>
        <w:t xml:space="preserve">, C., Cobb, O., Dahiya, S., &amp; Gutmann, D. H. (2020). </w:t>
      </w:r>
      <w:proofErr w:type="spellStart"/>
      <w:r w:rsidRPr="00A22CA3">
        <w:rPr>
          <w:rFonts w:ascii="Arial" w:eastAsiaTheme="minorEastAsia" w:hAnsi="Arial" w:cs="Arial"/>
          <w:kern w:val="0"/>
          <w:sz w:val="22"/>
          <w:szCs w:val="22"/>
        </w:rPr>
        <w:t>Midkine</w:t>
      </w:r>
      <w:proofErr w:type="spellEnd"/>
      <w:r w:rsidRPr="00A22CA3">
        <w:rPr>
          <w:rFonts w:ascii="Arial" w:eastAsiaTheme="minorEastAsia" w:hAnsi="Arial" w:cs="Arial"/>
          <w:kern w:val="0"/>
          <w:sz w:val="22"/>
          <w:szCs w:val="22"/>
        </w:rPr>
        <w:t xml:space="preserve"> activation of CD8(+) T cells establishes a neuron-immune-cancer axis responsible for low-grade glioma growth. </w:t>
      </w:r>
      <w:r w:rsidRPr="00A22CA3">
        <w:rPr>
          <w:rFonts w:ascii="Arial" w:eastAsiaTheme="minorEastAsia" w:hAnsi="Arial" w:cs="Arial"/>
          <w:i/>
          <w:iCs/>
          <w:kern w:val="0"/>
          <w:sz w:val="22"/>
          <w:szCs w:val="22"/>
        </w:rPr>
        <w:t>Nat Commun</w:t>
      </w:r>
      <w:r w:rsidRPr="00A22CA3">
        <w:rPr>
          <w:rFonts w:ascii="Arial" w:eastAsiaTheme="minorEastAsia" w:hAnsi="Arial" w:cs="Arial"/>
          <w:kern w:val="0"/>
          <w:sz w:val="22"/>
          <w:szCs w:val="22"/>
        </w:rPr>
        <w:t>,</w:t>
      </w:r>
      <w:r w:rsidRPr="00A22CA3">
        <w:rPr>
          <w:rFonts w:ascii="Arial" w:eastAsiaTheme="minorEastAsia" w:hAnsi="Arial" w:cs="Arial"/>
          <w:i/>
          <w:iCs/>
          <w:kern w:val="0"/>
          <w:sz w:val="22"/>
          <w:szCs w:val="22"/>
        </w:rPr>
        <w:t xml:space="preserve"> 11</w:t>
      </w:r>
      <w:r w:rsidRPr="00A22CA3">
        <w:rPr>
          <w:rFonts w:ascii="Arial" w:eastAsiaTheme="minorEastAsia" w:hAnsi="Arial" w:cs="Arial"/>
          <w:kern w:val="0"/>
          <w:sz w:val="22"/>
          <w:szCs w:val="22"/>
        </w:rPr>
        <w:t xml:space="preserve">(1), 2177. https://doi.org/10.1038/s41467-020-15770-3 </w:t>
      </w:r>
    </w:p>
    <w:p w14:paraId="511055C4" w14:textId="77777777" w:rsidR="00E64026" w:rsidRPr="004F29D9" w:rsidRDefault="00E64026" w:rsidP="00E64026">
      <w:pPr>
        <w:spacing w:after="3" w:line="240" w:lineRule="auto"/>
        <w:ind w:left="30"/>
        <w:rPr>
          <w:rFonts w:cs="Arial"/>
          <w:szCs w:val="22"/>
        </w:rPr>
      </w:pPr>
      <w:r w:rsidRPr="004F29D9">
        <w:rPr>
          <w:rFonts w:cs="Arial"/>
          <w:b/>
          <w:szCs w:val="22"/>
        </w:rPr>
        <w:t xml:space="preserve"> </w:t>
      </w:r>
      <w:r w:rsidRPr="004F29D9">
        <w:rPr>
          <w:rFonts w:cs="Arial"/>
          <w:szCs w:val="22"/>
        </w:rPr>
        <w:t xml:space="preserve"> </w:t>
      </w:r>
      <w:r w:rsidRPr="004F29D9">
        <w:rPr>
          <w:rFonts w:cs="Arial"/>
          <w:b/>
          <w:szCs w:val="22"/>
        </w:rPr>
        <w:t xml:space="preserve">    </w:t>
      </w:r>
      <w:r w:rsidRPr="004F29D9">
        <w:rPr>
          <w:rFonts w:cs="Arial"/>
          <w:szCs w:val="22"/>
        </w:rPr>
        <w:t xml:space="preserve"> </w:t>
      </w:r>
    </w:p>
    <w:p w14:paraId="7AB71D1C" w14:textId="77777777" w:rsidR="00E64026" w:rsidRDefault="00E64026" w:rsidP="00E64026">
      <w:pPr>
        <w:autoSpaceDE w:val="0"/>
        <w:autoSpaceDN w:val="0"/>
        <w:adjustRightInd w:val="0"/>
        <w:spacing w:after="0" w:line="240" w:lineRule="auto"/>
        <w:ind w:left="720" w:hanging="720"/>
        <w:rPr>
          <w:rFonts w:eastAsiaTheme="minorEastAsia" w:cs="Arial"/>
          <w:kern w:val="0"/>
          <w:szCs w:val="22"/>
        </w:rPr>
      </w:pPr>
      <w:r w:rsidRPr="00A22CA3">
        <w:rPr>
          <w:rFonts w:ascii="Arial" w:eastAsiaTheme="minorEastAsia" w:hAnsi="Arial" w:cs="Arial"/>
          <w:kern w:val="0"/>
          <w:sz w:val="22"/>
          <w:szCs w:val="22"/>
        </w:rPr>
        <w:t xml:space="preserve">Sanapala, S., Mosca, L., Wang, S., &amp; Curtiss, R. (2018). Comparative evaluation of Salmonella Typhimurium vaccines derived from UK-1 and 14028S: Importance of inherent virulence. </w:t>
      </w:r>
      <w:proofErr w:type="spellStart"/>
      <w:r w:rsidRPr="00A22CA3">
        <w:rPr>
          <w:rFonts w:ascii="Arial" w:eastAsiaTheme="minorEastAsia" w:hAnsi="Arial" w:cs="Arial"/>
          <w:i/>
          <w:iCs/>
          <w:kern w:val="0"/>
          <w:sz w:val="22"/>
          <w:szCs w:val="22"/>
        </w:rPr>
        <w:t>PLoS</w:t>
      </w:r>
      <w:proofErr w:type="spellEnd"/>
      <w:r w:rsidRPr="00A22CA3">
        <w:rPr>
          <w:rFonts w:ascii="Arial" w:eastAsiaTheme="minorEastAsia" w:hAnsi="Arial" w:cs="Arial"/>
          <w:i/>
          <w:iCs/>
          <w:kern w:val="0"/>
          <w:sz w:val="22"/>
          <w:szCs w:val="22"/>
        </w:rPr>
        <w:t xml:space="preserve"> One</w:t>
      </w:r>
      <w:r w:rsidRPr="00A22CA3">
        <w:rPr>
          <w:rFonts w:ascii="Arial" w:eastAsiaTheme="minorEastAsia" w:hAnsi="Arial" w:cs="Arial"/>
          <w:kern w:val="0"/>
          <w:sz w:val="22"/>
          <w:szCs w:val="22"/>
        </w:rPr>
        <w:t>,</w:t>
      </w:r>
      <w:r w:rsidRPr="00A22CA3">
        <w:rPr>
          <w:rFonts w:ascii="Arial" w:eastAsiaTheme="minorEastAsia" w:hAnsi="Arial" w:cs="Arial"/>
          <w:i/>
          <w:iCs/>
          <w:kern w:val="0"/>
          <w:sz w:val="22"/>
          <w:szCs w:val="22"/>
        </w:rPr>
        <w:t xml:space="preserve"> 13</w:t>
      </w:r>
      <w:r w:rsidRPr="00A22CA3">
        <w:rPr>
          <w:rFonts w:ascii="Arial" w:eastAsiaTheme="minorEastAsia" w:hAnsi="Arial" w:cs="Arial"/>
          <w:kern w:val="0"/>
          <w:sz w:val="22"/>
          <w:szCs w:val="22"/>
        </w:rPr>
        <w:t xml:space="preserve">(9), e0203526. </w:t>
      </w:r>
      <w:r w:rsidRPr="004B5497">
        <w:rPr>
          <w:rFonts w:cs="Arial"/>
          <w:szCs w:val="22"/>
        </w:rPr>
        <w:t>https://doi.org/10.1371/journal.pone.0203526</w:t>
      </w:r>
      <w:r w:rsidRPr="00A22CA3">
        <w:rPr>
          <w:rFonts w:ascii="Arial" w:eastAsiaTheme="minorEastAsia" w:hAnsi="Arial" w:cs="Arial"/>
          <w:kern w:val="0"/>
          <w:sz w:val="22"/>
          <w:szCs w:val="22"/>
        </w:rPr>
        <w:t xml:space="preserve"> </w:t>
      </w:r>
    </w:p>
    <w:p w14:paraId="5DE4C45D" w14:textId="77777777" w:rsidR="00E64026" w:rsidRPr="00A22CA3" w:rsidRDefault="00E64026" w:rsidP="00E64026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Arial" w:eastAsiaTheme="minorEastAsia" w:hAnsi="Arial" w:cs="Arial"/>
          <w:kern w:val="0"/>
          <w:sz w:val="22"/>
          <w:szCs w:val="22"/>
        </w:rPr>
      </w:pPr>
    </w:p>
    <w:p w14:paraId="2C4E141B" w14:textId="77777777" w:rsidR="00E64026" w:rsidRDefault="00E64026" w:rsidP="00E64026">
      <w:pPr>
        <w:autoSpaceDE w:val="0"/>
        <w:autoSpaceDN w:val="0"/>
        <w:adjustRightInd w:val="0"/>
        <w:spacing w:after="0" w:line="240" w:lineRule="auto"/>
        <w:ind w:left="720" w:hanging="720"/>
        <w:rPr>
          <w:rFonts w:eastAsiaTheme="minorEastAsia" w:cs="Arial"/>
          <w:kern w:val="0"/>
          <w:szCs w:val="22"/>
        </w:rPr>
      </w:pPr>
      <w:r w:rsidRPr="00A22CA3">
        <w:rPr>
          <w:rFonts w:ascii="Arial" w:eastAsiaTheme="minorEastAsia" w:hAnsi="Arial" w:cs="Arial"/>
          <w:kern w:val="0"/>
          <w:sz w:val="22"/>
          <w:szCs w:val="22"/>
        </w:rPr>
        <w:t xml:space="preserve">Sanapala, S., Rahav, H., Patel, H., Sun, W., &amp; Curtiss, R. (2016). Multiple antigens of Yersinia pestis delivered by live recombinant attenuated Salmonella vaccine strains elicit protective immunity against plague. </w:t>
      </w:r>
      <w:r w:rsidRPr="00A22CA3">
        <w:rPr>
          <w:rFonts w:ascii="Arial" w:eastAsiaTheme="minorEastAsia" w:hAnsi="Arial" w:cs="Arial"/>
          <w:i/>
          <w:iCs/>
          <w:kern w:val="0"/>
          <w:sz w:val="22"/>
          <w:szCs w:val="22"/>
        </w:rPr>
        <w:t>Vaccine</w:t>
      </w:r>
      <w:r w:rsidRPr="00A22CA3">
        <w:rPr>
          <w:rFonts w:ascii="Arial" w:eastAsiaTheme="minorEastAsia" w:hAnsi="Arial" w:cs="Arial"/>
          <w:kern w:val="0"/>
          <w:sz w:val="22"/>
          <w:szCs w:val="22"/>
        </w:rPr>
        <w:t>,</w:t>
      </w:r>
      <w:r w:rsidRPr="00A22CA3">
        <w:rPr>
          <w:rFonts w:ascii="Arial" w:eastAsiaTheme="minorEastAsia" w:hAnsi="Arial" w:cs="Arial"/>
          <w:i/>
          <w:iCs/>
          <w:kern w:val="0"/>
          <w:sz w:val="22"/>
          <w:szCs w:val="22"/>
        </w:rPr>
        <w:t xml:space="preserve"> 34</w:t>
      </w:r>
      <w:r w:rsidRPr="00A22CA3">
        <w:rPr>
          <w:rFonts w:ascii="Arial" w:eastAsiaTheme="minorEastAsia" w:hAnsi="Arial" w:cs="Arial"/>
          <w:kern w:val="0"/>
          <w:sz w:val="22"/>
          <w:szCs w:val="22"/>
        </w:rPr>
        <w:t xml:space="preserve">(21), 2410–2416. </w:t>
      </w:r>
      <w:r w:rsidRPr="004B5497">
        <w:rPr>
          <w:rFonts w:cs="Arial"/>
          <w:szCs w:val="22"/>
        </w:rPr>
        <w:t>https://doi.org/10.1016/j.vaccine.2016.03.094</w:t>
      </w:r>
      <w:r w:rsidRPr="00A22CA3">
        <w:rPr>
          <w:rFonts w:ascii="Arial" w:eastAsiaTheme="minorEastAsia" w:hAnsi="Arial" w:cs="Arial"/>
          <w:kern w:val="0"/>
          <w:sz w:val="22"/>
          <w:szCs w:val="22"/>
        </w:rPr>
        <w:t xml:space="preserve"> </w:t>
      </w:r>
    </w:p>
    <w:p w14:paraId="4A660E00" w14:textId="77777777" w:rsidR="00E64026" w:rsidRPr="00A22CA3" w:rsidRDefault="00E64026" w:rsidP="00E64026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Arial" w:eastAsiaTheme="minorEastAsia" w:hAnsi="Arial" w:cs="Arial"/>
          <w:kern w:val="0"/>
          <w:sz w:val="22"/>
          <w:szCs w:val="22"/>
        </w:rPr>
      </w:pPr>
    </w:p>
    <w:p w14:paraId="4833E6B3" w14:textId="77777777" w:rsidR="00E64026" w:rsidRDefault="00E64026" w:rsidP="00E64026">
      <w:pPr>
        <w:autoSpaceDE w:val="0"/>
        <w:autoSpaceDN w:val="0"/>
        <w:adjustRightInd w:val="0"/>
        <w:spacing w:after="0" w:line="240" w:lineRule="auto"/>
        <w:ind w:left="720" w:hanging="720"/>
        <w:rPr>
          <w:rFonts w:eastAsiaTheme="minorEastAsia" w:cs="Arial"/>
          <w:kern w:val="0"/>
          <w:szCs w:val="22"/>
        </w:rPr>
      </w:pPr>
      <w:r w:rsidRPr="00A22CA3">
        <w:rPr>
          <w:rFonts w:ascii="Arial" w:eastAsiaTheme="minorEastAsia" w:hAnsi="Arial" w:cs="Arial"/>
          <w:kern w:val="0"/>
          <w:sz w:val="22"/>
          <w:szCs w:val="22"/>
        </w:rPr>
        <w:t xml:space="preserve">Sun, W., Sanapala, S., Rahav, H., &amp; Curtiss, R., 3rd. (2015). Oral administration of a recombinant attenuated Yersinia pseudotuberculosis strain elicits protective immunity against plague. </w:t>
      </w:r>
      <w:r w:rsidRPr="00A22CA3">
        <w:rPr>
          <w:rFonts w:ascii="Arial" w:eastAsiaTheme="minorEastAsia" w:hAnsi="Arial" w:cs="Arial"/>
          <w:i/>
          <w:iCs/>
          <w:kern w:val="0"/>
          <w:sz w:val="22"/>
          <w:szCs w:val="22"/>
        </w:rPr>
        <w:t>Vaccine</w:t>
      </w:r>
      <w:r w:rsidRPr="00A22CA3">
        <w:rPr>
          <w:rFonts w:ascii="Arial" w:eastAsiaTheme="minorEastAsia" w:hAnsi="Arial" w:cs="Arial"/>
          <w:kern w:val="0"/>
          <w:sz w:val="22"/>
          <w:szCs w:val="22"/>
        </w:rPr>
        <w:t>,</w:t>
      </w:r>
      <w:r w:rsidRPr="00A22CA3">
        <w:rPr>
          <w:rFonts w:ascii="Arial" w:eastAsiaTheme="minorEastAsia" w:hAnsi="Arial" w:cs="Arial"/>
          <w:i/>
          <w:iCs/>
          <w:kern w:val="0"/>
          <w:sz w:val="22"/>
          <w:szCs w:val="22"/>
        </w:rPr>
        <w:t xml:space="preserve"> 33</w:t>
      </w:r>
      <w:r w:rsidRPr="00A22CA3">
        <w:rPr>
          <w:rFonts w:ascii="Arial" w:eastAsiaTheme="minorEastAsia" w:hAnsi="Arial" w:cs="Arial"/>
          <w:kern w:val="0"/>
          <w:sz w:val="22"/>
          <w:szCs w:val="22"/>
        </w:rPr>
        <w:t xml:space="preserve">(48), 6727–6735. </w:t>
      </w:r>
      <w:r w:rsidRPr="004B5497">
        <w:rPr>
          <w:rFonts w:cs="Arial"/>
          <w:szCs w:val="22"/>
        </w:rPr>
        <w:t>https://doi.org/10.1016/j.vaccine.2015.10.074</w:t>
      </w:r>
      <w:r w:rsidRPr="00A22CA3">
        <w:rPr>
          <w:rFonts w:ascii="Arial" w:eastAsiaTheme="minorEastAsia" w:hAnsi="Arial" w:cs="Arial"/>
          <w:kern w:val="0"/>
          <w:sz w:val="22"/>
          <w:szCs w:val="22"/>
        </w:rPr>
        <w:t xml:space="preserve"> </w:t>
      </w:r>
    </w:p>
    <w:p w14:paraId="0A262C8F" w14:textId="77777777" w:rsidR="00E64026" w:rsidRPr="00A22CA3" w:rsidRDefault="00E64026" w:rsidP="00E64026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Arial" w:eastAsiaTheme="minorEastAsia" w:hAnsi="Arial" w:cs="Arial"/>
          <w:kern w:val="0"/>
          <w:sz w:val="22"/>
          <w:szCs w:val="22"/>
        </w:rPr>
      </w:pPr>
    </w:p>
    <w:p w14:paraId="75882105" w14:textId="77777777" w:rsidR="00E64026" w:rsidRDefault="00E64026" w:rsidP="00E64026">
      <w:pPr>
        <w:autoSpaceDE w:val="0"/>
        <w:autoSpaceDN w:val="0"/>
        <w:adjustRightInd w:val="0"/>
        <w:spacing w:after="0" w:line="240" w:lineRule="auto"/>
        <w:ind w:left="720" w:hanging="720"/>
        <w:rPr>
          <w:rFonts w:eastAsiaTheme="minorEastAsia" w:cs="Arial"/>
          <w:kern w:val="0"/>
          <w:szCs w:val="22"/>
        </w:rPr>
      </w:pPr>
      <w:r w:rsidRPr="00A22CA3">
        <w:rPr>
          <w:rFonts w:ascii="Arial" w:eastAsiaTheme="minorEastAsia" w:hAnsi="Arial" w:cs="Arial"/>
          <w:kern w:val="0"/>
          <w:sz w:val="22"/>
          <w:szCs w:val="22"/>
        </w:rPr>
        <w:lastRenderedPageBreak/>
        <w:t xml:space="preserve">Sun, W., Sanapala, S., Henderson, J. C., Sam, S., </w:t>
      </w:r>
      <w:proofErr w:type="spellStart"/>
      <w:r w:rsidRPr="00A22CA3">
        <w:rPr>
          <w:rFonts w:ascii="Arial" w:eastAsiaTheme="minorEastAsia" w:hAnsi="Arial" w:cs="Arial"/>
          <w:kern w:val="0"/>
          <w:sz w:val="22"/>
          <w:szCs w:val="22"/>
        </w:rPr>
        <w:t>Olinzock</w:t>
      </w:r>
      <w:proofErr w:type="spellEnd"/>
      <w:r w:rsidRPr="00A22CA3">
        <w:rPr>
          <w:rFonts w:ascii="Arial" w:eastAsiaTheme="minorEastAsia" w:hAnsi="Arial" w:cs="Arial"/>
          <w:kern w:val="0"/>
          <w:sz w:val="22"/>
          <w:szCs w:val="22"/>
        </w:rPr>
        <w:t xml:space="preserve">, J., Trent, M. S., &amp; Curtiss, R., 3rd. (2014). </w:t>
      </w:r>
      <w:proofErr w:type="spellStart"/>
      <w:r w:rsidRPr="00A22CA3">
        <w:rPr>
          <w:rFonts w:ascii="Arial" w:eastAsiaTheme="minorEastAsia" w:hAnsi="Arial" w:cs="Arial"/>
          <w:kern w:val="0"/>
          <w:sz w:val="22"/>
          <w:szCs w:val="22"/>
        </w:rPr>
        <w:t>LcrV</w:t>
      </w:r>
      <w:proofErr w:type="spellEnd"/>
      <w:r w:rsidRPr="00A22CA3">
        <w:rPr>
          <w:rFonts w:ascii="Arial" w:eastAsiaTheme="minorEastAsia" w:hAnsi="Arial" w:cs="Arial"/>
          <w:kern w:val="0"/>
          <w:sz w:val="22"/>
          <w:szCs w:val="22"/>
        </w:rPr>
        <w:t xml:space="preserve"> delivered via type III secretion system of live attenuated Yersinia pseudotuberculosis enhances immunogenicity against pneumonic plague. </w:t>
      </w:r>
      <w:r w:rsidRPr="00A22CA3">
        <w:rPr>
          <w:rFonts w:ascii="Arial" w:eastAsiaTheme="minorEastAsia" w:hAnsi="Arial" w:cs="Arial"/>
          <w:i/>
          <w:iCs/>
          <w:kern w:val="0"/>
          <w:sz w:val="22"/>
          <w:szCs w:val="22"/>
        </w:rPr>
        <w:t xml:space="preserve">Infect </w:t>
      </w:r>
      <w:proofErr w:type="spellStart"/>
      <w:r w:rsidRPr="00A22CA3">
        <w:rPr>
          <w:rFonts w:ascii="Arial" w:eastAsiaTheme="minorEastAsia" w:hAnsi="Arial" w:cs="Arial"/>
          <w:i/>
          <w:iCs/>
          <w:kern w:val="0"/>
          <w:sz w:val="22"/>
          <w:szCs w:val="22"/>
        </w:rPr>
        <w:t>Immun</w:t>
      </w:r>
      <w:proofErr w:type="spellEnd"/>
      <w:r w:rsidRPr="00A22CA3">
        <w:rPr>
          <w:rFonts w:ascii="Arial" w:eastAsiaTheme="minorEastAsia" w:hAnsi="Arial" w:cs="Arial"/>
          <w:kern w:val="0"/>
          <w:sz w:val="22"/>
          <w:szCs w:val="22"/>
        </w:rPr>
        <w:t>,</w:t>
      </w:r>
      <w:r w:rsidRPr="00A22CA3">
        <w:rPr>
          <w:rFonts w:ascii="Arial" w:eastAsiaTheme="minorEastAsia" w:hAnsi="Arial" w:cs="Arial"/>
          <w:i/>
          <w:iCs/>
          <w:kern w:val="0"/>
          <w:sz w:val="22"/>
          <w:szCs w:val="22"/>
        </w:rPr>
        <w:t xml:space="preserve"> 82</w:t>
      </w:r>
      <w:r w:rsidRPr="00A22CA3">
        <w:rPr>
          <w:rFonts w:ascii="Arial" w:eastAsiaTheme="minorEastAsia" w:hAnsi="Arial" w:cs="Arial"/>
          <w:kern w:val="0"/>
          <w:sz w:val="22"/>
          <w:szCs w:val="22"/>
        </w:rPr>
        <w:t xml:space="preserve">(10), 4390–4404. </w:t>
      </w:r>
      <w:r w:rsidRPr="004B5497">
        <w:rPr>
          <w:rFonts w:cs="Arial"/>
          <w:szCs w:val="22"/>
        </w:rPr>
        <w:t>https://doi.org/10.1128/IAI.02173-14</w:t>
      </w:r>
      <w:r w:rsidRPr="00A22CA3">
        <w:rPr>
          <w:rFonts w:ascii="Arial" w:eastAsiaTheme="minorEastAsia" w:hAnsi="Arial" w:cs="Arial"/>
          <w:kern w:val="0"/>
          <w:sz w:val="22"/>
          <w:szCs w:val="22"/>
        </w:rPr>
        <w:t xml:space="preserve"> </w:t>
      </w:r>
    </w:p>
    <w:p w14:paraId="0267AA11" w14:textId="77777777" w:rsidR="00E64026" w:rsidRPr="00A22CA3" w:rsidRDefault="00E64026" w:rsidP="00E64026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Arial" w:eastAsiaTheme="minorEastAsia" w:hAnsi="Arial" w:cs="Arial"/>
          <w:kern w:val="0"/>
          <w:sz w:val="22"/>
          <w:szCs w:val="22"/>
        </w:rPr>
      </w:pPr>
    </w:p>
    <w:p w14:paraId="5DF3FB35" w14:textId="77777777" w:rsidR="00E64026" w:rsidRPr="00A22CA3" w:rsidRDefault="00E64026" w:rsidP="00E64026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Arial" w:eastAsiaTheme="minorEastAsia" w:hAnsi="Arial" w:cs="Arial"/>
          <w:kern w:val="0"/>
          <w:sz w:val="22"/>
          <w:szCs w:val="22"/>
        </w:rPr>
      </w:pPr>
      <w:r w:rsidRPr="00A22CA3">
        <w:rPr>
          <w:rFonts w:ascii="Arial" w:eastAsiaTheme="minorEastAsia" w:hAnsi="Arial" w:cs="Arial"/>
          <w:kern w:val="0"/>
          <w:sz w:val="22"/>
          <w:szCs w:val="22"/>
        </w:rPr>
        <w:t xml:space="preserve">Sun, W., </w:t>
      </w:r>
      <w:proofErr w:type="spellStart"/>
      <w:r w:rsidRPr="00A22CA3">
        <w:rPr>
          <w:rFonts w:ascii="Arial" w:eastAsiaTheme="minorEastAsia" w:hAnsi="Arial" w:cs="Arial"/>
          <w:kern w:val="0"/>
          <w:sz w:val="22"/>
          <w:szCs w:val="22"/>
        </w:rPr>
        <w:t>Olinzock</w:t>
      </w:r>
      <w:proofErr w:type="spellEnd"/>
      <w:r w:rsidRPr="00A22CA3">
        <w:rPr>
          <w:rFonts w:ascii="Arial" w:eastAsiaTheme="minorEastAsia" w:hAnsi="Arial" w:cs="Arial"/>
          <w:kern w:val="0"/>
          <w:sz w:val="22"/>
          <w:szCs w:val="22"/>
        </w:rPr>
        <w:t xml:space="preserve">, J., Wang, S., Sanapala, S., &amp; Curtiss, R., 3rd. (2014). Evaluation of </w:t>
      </w:r>
      <w:proofErr w:type="spellStart"/>
      <w:r w:rsidRPr="00A22CA3">
        <w:rPr>
          <w:rFonts w:ascii="Arial" w:eastAsiaTheme="minorEastAsia" w:hAnsi="Arial" w:cs="Arial"/>
          <w:kern w:val="0"/>
          <w:sz w:val="22"/>
          <w:szCs w:val="22"/>
        </w:rPr>
        <w:t>YadC</w:t>
      </w:r>
      <w:proofErr w:type="spellEnd"/>
      <w:r w:rsidRPr="00A22CA3">
        <w:rPr>
          <w:rFonts w:ascii="Arial" w:eastAsiaTheme="minorEastAsia" w:hAnsi="Arial" w:cs="Arial"/>
          <w:kern w:val="0"/>
          <w:sz w:val="22"/>
          <w:szCs w:val="22"/>
        </w:rPr>
        <w:t xml:space="preserve"> protein delivered by live attenuated Salmonella as a vaccine against plague. </w:t>
      </w:r>
      <w:proofErr w:type="spellStart"/>
      <w:r w:rsidRPr="00A22CA3">
        <w:rPr>
          <w:rFonts w:ascii="Arial" w:eastAsiaTheme="minorEastAsia" w:hAnsi="Arial" w:cs="Arial"/>
          <w:i/>
          <w:iCs/>
          <w:kern w:val="0"/>
          <w:sz w:val="22"/>
          <w:szCs w:val="22"/>
        </w:rPr>
        <w:t>Pathog</w:t>
      </w:r>
      <w:proofErr w:type="spellEnd"/>
      <w:r w:rsidRPr="00A22CA3">
        <w:rPr>
          <w:rFonts w:ascii="Arial" w:eastAsiaTheme="minorEastAsia" w:hAnsi="Arial" w:cs="Arial"/>
          <w:i/>
          <w:iCs/>
          <w:kern w:val="0"/>
          <w:sz w:val="22"/>
          <w:szCs w:val="22"/>
        </w:rPr>
        <w:t xml:space="preserve"> Dis</w:t>
      </w:r>
      <w:r w:rsidRPr="00A22CA3">
        <w:rPr>
          <w:rFonts w:ascii="Arial" w:eastAsiaTheme="minorEastAsia" w:hAnsi="Arial" w:cs="Arial"/>
          <w:kern w:val="0"/>
          <w:sz w:val="22"/>
          <w:szCs w:val="22"/>
        </w:rPr>
        <w:t>,</w:t>
      </w:r>
      <w:r w:rsidRPr="00A22CA3">
        <w:rPr>
          <w:rFonts w:ascii="Arial" w:eastAsiaTheme="minorEastAsia" w:hAnsi="Arial" w:cs="Arial"/>
          <w:i/>
          <w:iCs/>
          <w:kern w:val="0"/>
          <w:sz w:val="22"/>
          <w:szCs w:val="22"/>
        </w:rPr>
        <w:t xml:space="preserve"> 70</w:t>
      </w:r>
      <w:r w:rsidRPr="00A22CA3">
        <w:rPr>
          <w:rFonts w:ascii="Arial" w:eastAsiaTheme="minorEastAsia" w:hAnsi="Arial" w:cs="Arial"/>
          <w:kern w:val="0"/>
          <w:sz w:val="22"/>
          <w:szCs w:val="22"/>
        </w:rPr>
        <w:t xml:space="preserve">(2), 119–131. https://doi.org/10.1111/2049-632X.12076 </w:t>
      </w:r>
    </w:p>
    <w:p w14:paraId="73F90076" w14:textId="77777777" w:rsidR="00E64026" w:rsidRDefault="00E64026" w:rsidP="00E64026">
      <w:pPr>
        <w:spacing w:after="3" w:line="240" w:lineRule="auto"/>
        <w:ind w:left="376"/>
      </w:pPr>
    </w:p>
    <w:p w14:paraId="3293A867" w14:textId="77777777" w:rsidR="00E64026" w:rsidRPr="00A22CA3" w:rsidRDefault="00E64026" w:rsidP="00E64026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Arial" w:eastAsiaTheme="minorEastAsia" w:hAnsi="Arial" w:cs="Arial"/>
          <w:kern w:val="0"/>
          <w:sz w:val="22"/>
          <w:szCs w:val="22"/>
        </w:rPr>
      </w:pPr>
      <w:r w:rsidRPr="00A22CA3">
        <w:rPr>
          <w:rFonts w:ascii="Arial" w:eastAsiaTheme="minorEastAsia" w:hAnsi="Arial" w:cs="Arial"/>
          <w:kern w:val="0"/>
          <w:sz w:val="22"/>
          <w:szCs w:val="22"/>
        </w:rPr>
        <w:t xml:space="preserve">Sanapala, S., Yu, J. J., Murthy, A. K., Li, W., Guentzel, M. N., Chambers, J. P., Klose, K. E., &amp; Arulanandam, B. P. (2012). Perforin- and granzyme-mediated cytotoxic effector functions are essential for protection against </w:t>
      </w:r>
      <w:proofErr w:type="spellStart"/>
      <w:r w:rsidRPr="00A22CA3">
        <w:rPr>
          <w:rFonts w:ascii="Arial" w:eastAsiaTheme="minorEastAsia" w:hAnsi="Arial" w:cs="Arial"/>
          <w:kern w:val="0"/>
          <w:sz w:val="22"/>
          <w:szCs w:val="22"/>
        </w:rPr>
        <w:t>Francisella</w:t>
      </w:r>
      <w:proofErr w:type="spellEnd"/>
      <w:r w:rsidRPr="00A22CA3">
        <w:rPr>
          <w:rFonts w:ascii="Arial" w:eastAsiaTheme="minorEastAsia" w:hAnsi="Arial" w:cs="Arial"/>
          <w:kern w:val="0"/>
          <w:sz w:val="22"/>
          <w:szCs w:val="22"/>
        </w:rPr>
        <w:t xml:space="preserve"> tularensis following vaccination by the defined F. tularensis subsp. </w:t>
      </w:r>
      <w:proofErr w:type="spellStart"/>
      <w:r w:rsidRPr="00A22CA3">
        <w:rPr>
          <w:rFonts w:ascii="Arial" w:eastAsiaTheme="minorEastAsia" w:hAnsi="Arial" w:cs="Arial"/>
          <w:kern w:val="0"/>
          <w:sz w:val="22"/>
          <w:szCs w:val="22"/>
        </w:rPr>
        <w:t>novicida</w:t>
      </w:r>
      <w:proofErr w:type="spellEnd"/>
      <w:r w:rsidRPr="00A22CA3">
        <w:rPr>
          <w:rFonts w:ascii="Arial" w:eastAsiaTheme="minorEastAsia" w:hAnsi="Arial" w:cs="Arial"/>
          <w:kern w:val="0"/>
          <w:sz w:val="22"/>
          <w:szCs w:val="22"/>
        </w:rPr>
        <w:t xml:space="preserve"> </w:t>
      </w:r>
      <w:proofErr w:type="spellStart"/>
      <w:r w:rsidRPr="00A22CA3">
        <w:rPr>
          <w:rFonts w:ascii="Arial" w:eastAsiaTheme="minorEastAsia" w:hAnsi="Arial" w:cs="Arial"/>
          <w:kern w:val="0"/>
          <w:sz w:val="22"/>
          <w:szCs w:val="22"/>
        </w:rPr>
        <w:t>DeltafopC</w:t>
      </w:r>
      <w:proofErr w:type="spellEnd"/>
      <w:r w:rsidRPr="00A22CA3">
        <w:rPr>
          <w:rFonts w:ascii="Arial" w:eastAsiaTheme="minorEastAsia" w:hAnsi="Arial" w:cs="Arial"/>
          <w:kern w:val="0"/>
          <w:sz w:val="22"/>
          <w:szCs w:val="22"/>
        </w:rPr>
        <w:t xml:space="preserve"> vaccine strain. </w:t>
      </w:r>
      <w:r w:rsidRPr="00A22CA3">
        <w:rPr>
          <w:rFonts w:ascii="Arial" w:eastAsiaTheme="minorEastAsia" w:hAnsi="Arial" w:cs="Arial"/>
          <w:i/>
          <w:iCs/>
          <w:kern w:val="0"/>
          <w:sz w:val="22"/>
          <w:szCs w:val="22"/>
        </w:rPr>
        <w:t xml:space="preserve">Infect </w:t>
      </w:r>
      <w:proofErr w:type="spellStart"/>
      <w:r w:rsidRPr="00A22CA3">
        <w:rPr>
          <w:rFonts w:ascii="Arial" w:eastAsiaTheme="minorEastAsia" w:hAnsi="Arial" w:cs="Arial"/>
          <w:i/>
          <w:iCs/>
          <w:kern w:val="0"/>
          <w:sz w:val="22"/>
          <w:szCs w:val="22"/>
        </w:rPr>
        <w:t>Immun</w:t>
      </w:r>
      <w:proofErr w:type="spellEnd"/>
      <w:r w:rsidRPr="00A22CA3">
        <w:rPr>
          <w:rFonts w:ascii="Arial" w:eastAsiaTheme="minorEastAsia" w:hAnsi="Arial" w:cs="Arial"/>
          <w:kern w:val="0"/>
          <w:sz w:val="22"/>
          <w:szCs w:val="22"/>
        </w:rPr>
        <w:t>,</w:t>
      </w:r>
      <w:r w:rsidRPr="00A22CA3">
        <w:rPr>
          <w:rFonts w:ascii="Arial" w:eastAsiaTheme="minorEastAsia" w:hAnsi="Arial" w:cs="Arial"/>
          <w:i/>
          <w:iCs/>
          <w:kern w:val="0"/>
          <w:sz w:val="22"/>
          <w:szCs w:val="22"/>
        </w:rPr>
        <w:t xml:space="preserve"> 80</w:t>
      </w:r>
      <w:r w:rsidRPr="00A22CA3">
        <w:rPr>
          <w:rFonts w:ascii="Arial" w:eastAsiaTheme="minorEastAsia" w:hAnsi="Arial" w:cs="Arial"/>
          <w:kern w:val="0"/>
          <w:sz w:val="22"/>
          <w:szCs w:val="22"/>
        </w:rPr>
        <w:t xml:space="preserve">(6), 2177–2185. https://doi.org/10.1128/IAI.00036-12 </w:t>
      </w:r>
    </w:p>
    <w:p w14:paraId="65B042B8" w14:textId="77777777" w:rsidR="00E64026" w:rsidRPr="004F29D9" w:rsidRDefault="00E64026" w:rsidP="00E64026">
      <w:pPr>
        <w:spacing w:after="3" w:line="240" w:lineRule="auto"/>
        <w:ind w:left="376"/>
        <w:rPr>
          <w:rFonts w:cs="Arial"/>
          <w:szCs w:val="22"/>
        </w:rPr>
      </w:pPr>
    </w:p>
    <w:p w14:paraId="35FC7BBD" w14:textId="77777777" w:rsidR="00E64026" w:rsidRPr="00A22CA3" w:rsidRDefault="00E64026" w:rsidP="00E64026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Arial" w:eastAsiaTheme="minorEastAsia" w:hAnsi="Arial" w:cs="Arial"/>
          <w:kern w:val="0"/>
          <w:sz w:val="22"/>
          <w:szCs w:val="22"/>
        </w:rPr>
      </w:pPr>
      <w:proofErr w:type="spellStart"/>
      <w:r w:rsidRPr="00A22CA3">
        <w:rPr>
          <w:rFonts w:ascii="Arial" w:eastAsiaTheme="minorEastAsia" w:hAnsi="Arial" w:cs="Arial"/>
          <w:kern w:val="0"/>
          <w:sz w:val="22"/>
          <w:szCs w:val="22"/>
        </w:rPr>
        <w:t>Thathiah</w:t>
      </w:r>
      <w:proofErr w:type="spellEnd"/>
      <w:r w:rsidRPr="00A22CA3">
        <w:rPr>
          <w:rFonts w:ascii="Arial" w:eastAsiaTheme="minorEastAsia" w:hAnsi="Arial" w:cs="Arial"/>
          <w:kern w:val="0"/>
          <w:sz w:val="22"/>
          <w:szCs w:val="22"/>
        </w:rPr>
        <w:t xml:space="preserve">, P., Sanapala, S., Rodriguez, A. R., Yu, J. J., Murthy, A. K., Guentzel, M. N., </w:t>
      </w:r>
      <w:proofErr w:type="spellStart"/>
      <w:r w:rsidRPr="00A22CA3">
        <w:rPr>
          <w:rFonts w:ascii="Arial" w:eastAsiaTheme="minorEastAsia" w:hAnsi="Arial" w:cs="Arial"/>
          <w:kern w:val="0"/>
          <w:sz w:val="22"/>
          <w:szCs w:val="22"/>
        </w:rPr>
        <w:t>Forsthuber</w:t>
      </w:r>
      <w:proofErr w:type="spellEnd"/>
      <w:r w:rsidRPr="00A22CA3">
        <w:rPr>
          <w:rFonts w:ascii="Arial" w:eastAsiaTheme="minorEastAsia" w:hAnsi="Arial" w:cs="Arial"/>
          <w:kern w:val="0"/>
          <w:sz w:val="22"/>
          <w:szCs w:val="22"/>
        </w:rPr>
        <w:t>, T. G., Chambers, J. P., &amp; Arulanandam, B. P. (2011). Non-</w:t>
      </w:r>
      <w:proofErr w:type="spellStart"/>
      <w:r w:rsidRPr="00A22CA3">
        <w:rPr>
          <w:rFonts w:ascii="Arial" w:eastAsiaTheme="minorEastAsia" w:hAnsi="Arial" w:cs="Arial"/>
          <w:kern w:val="0"/>
          <w:sz w:val="22"/>
          <w:szCs w:val="22"/>
        </w:rPr>
        <w:t>FcepsilonR</w:t>
      </w:r>
      <w:proofErr w:type="spellEnd"/>
      <w:r w:rsidRPr="00A22CA3">
        <w:rPr>
          <w:rFonts w:ascii="Arial" w:eastAsiaTheme="minorEastAsia" w:hAnsi="Arial" w:cs="Arial"/>
          <w:kern w:val="0"/>
          <w:sz w:val="22"/>
          <w:szCs w:val="22"/>
        </w:rPr>
        <w:t xml:space="preserve"> bearing mast cells secrete sufficient interleukin-4 to control </w:t>
      </w:r>
      <w:proofErr w:type="spellStart"/>
      <w:r w:rsidRPr="00A22CA3">
        <w:rPr>
          <w:rFonts w:ascii="Arial" w:eastAsiaTheme="minorEastAsia" w:hAnsi="Arial" w:cs="Arial"/>
          <w:kern w:val="0"/>
          <w:sz w:val="22"/>
          <w:szCs w:val="22"/>
        </w:rPr>
        <w:t>Francisella</w:t>
      </w:r>
      <w:proofErr w:type="spellEnd"/>
      <w:r w:rsidRPr="00A22CA3">
        <w:rPr>
          <w:rFonts w:ascii="Arial" w:eastAsiaTheme="minorEastAsia" w:hAnsi="Arial" w:cs="Arial"/>
          <w:kern w:val="0"/>
          <w:sz w:val="22"/>
          <w:szCs w:val="22"/>
        </w:rPr>
        <w:t xml:space="preserve"> tularensis replication within macrophages. </w:t>
      </w:r>
      <w:r w:rsidRPr="00A22CA3">
        <w:rPr>
          <w:rFonts w:ascii="Arial" w:eastAsiaTheme="minorEastAsia" w:hAnsi="Arial" w:cs="Arial"/>
          <w:i/>
          <w:iCs/>
          <w:kern w:val="0"/>
          <w:sz w:val="22"/>
          <w:szCs w:val="22"/>
        </w:rPr>
        <w:t>Cytokine</w:t>
      </w:r>
      <w:r w:rsidRPr="00A22CA3">
        <w:rPr>
          <w:rFonts w:ascii="Arial" w:eastAsiaTheme="minorEastAsia" w:hAnsi="Arial" w:cs="Arial"/>
          <w:kern w:val="0"/>
          <w:sz w:val="22"/>
          <w:szCs w:val="22"/>
        </w:rPr>
        <w:t>,</w:t>
      </w:r>
      <w:r w:rsidRPr="00A22CA3">
        <w:rPr>
          <w:rFonts w:ascii="Arial" w:eastAsiaTheme="minorEastAsia" w:hAnsi="Arial" w:cs="Arial"/>
          <w:i/>
          <w:iCs/>
          <w:kern w:val="0"/>
          <w:sz w:val="22"/>
          <w:szCs w:val="22"/>
        </w:rPr>
        <w:t xml:space="preserve"> 55</w:t>
      </w:r>
      <w:r w:rsidRPr="00A22CA3">
        <w:rPr>
          <w:rFonts w:ascii="Arial" w:eastAsiaTheme="minorEastAsia" w:hAnsi="Arial" w:cs="Arial"/>
          <w:kern w:val="0"/>
          <w:sz w:val="22"/>
          <w:szCs w:val="22"/>
        </w:rPr>
        <w:t xml:space="preserve">(2), 211–220. https://doi.org/10.1016/j.cyto.2011.04.009 </w:t>
      </w:r>
    </w:p>
    <w:p w14:paraId="7B14D673" w14:textId="77777777" w:rsidR="00F264C2" w:rsidRPr="00F264C2" w:rsidRDefault="00F264C2" w:rsidP="00E64026">
      <w:pPr>
        <w:spacing w:line="240" w:lineRule="auto"/>
        <w:rPr>
          <w:rFonts w:ascii="Arial" w:hAnsi="Arial" w:cs="Arial"/>
          <w:sz w:val="22"/>
          <w:szCs w:val="22"/>
        </w:rPr>
      </w:pPr>
      <w:r w:rsidRPr="00F264C2">
        <w:rPr>
          <w:rFonts w:ascii="Arial" w:hAnsi="Arial" w:cs="Arial"/>
          <w:sz w:val="22"/>
          <w:szCs w:val="22"/>
        </w:rPr>
        <w:t xml:space="preserve"> </w:t>
      </w:r>
    </w:p>
    <w:p w14:paraId="219A6050" w14:textId="65370258" w:rsidR="00F264C2" w:rsidRPr="00777E9F" w:rsidRDefault="00F264C2" w:rsidP="00F264C2">
      <w:pPr>
        <w:rPr>
          <w:rFonts w:ascii="Arial" w:hAnsi="Arial" w:cs="Arial"/>
          <w:b/>
          <w:bCs/>
          <w:sz w:val="22"/>
          <w:szCs w:val="22"/>
        </w:rPr>
      </w:pPr>
      <w:r w:rsidRPr="00777E9F">
        <w:rPr>
          <w:rFonts w:ascii="Arial" w:hAnsi="Arial" w:cs="Arial"/>
          <w:b/>
          <w:bCs/>
          <w:sz w:val="22"/>
          <w:szCs w:val="22"/>
        </w:rPr>
        <w:t xml:space="preserve">HONORS &amp; AWARDS: </w:t>
      </w:r>
    </w:p>
    <w:p w14:paraId="193D6513" w14:textId="393FF216" w:rsidR="00F264C2" w:rsidRPr="00F264C2" w:rsidRDefault="00F264C2" w:rsidP="00DB48BC">
      <w:pPr>
        <w:spacing w:after="0" w:line="240" w:lineRule="auto"/>
        <w:rPr>
          <w:rFonts w:ascii="Arial" w:hAnsi="Arial" w:cs="Arial"/>
          <w:sz w:val="22"/>
          <w:szCs w:val="22"/>
        </w:rPr>
      </w:pPr>
      <w:r w:rsidRPr="00F264C2">
        <w:rPr>
          <w:rFonts w:ascii="Arial" w:hAnsi="Arial" w:cs="Arial"/>
          <w:sz w:val="22"/>
          <w:szCs w:val="22"/>
        </w:rPr>
        <w:t xml:space="preserve">Certificate in College Teaching, UTSA </w:t>
      </w:r>
    </w:p>
    <w:p w14:paraId="635B4026" w14:textId="77777777" w:rsidR="00F264C2" w:rsidRPr="00F264C2" w:rsidRDefault="00F264C2" w:rsidP="00DB48BC">
      <w:pPr>
        <w:spacing w:after="0" w:line="240" w:lineRule="auto"/>
        <w:rPr>
          <w:rFonts w:ascii="Arial" w:hAnsi="Arial" w:cs="Arial"/>
          <w:sz w:val="22"/>
          <w:szCs w:val="22"/>
        </w:rPr>
      </w:pPr>
      <w:r w:rsidRPr="00F264C2">
        <w:rPr>
          <w:rFonts w:ascii="Arial" w:hAnsi="Arial" w:cs="Arial"/>
          <w:sz w:val="22"/>
          <w:szCs w:val="22"/>
        </w:rPr>
        <w:t xml:space="preserve">Silver Medal for Academic Excellence, JNTU </w:t>
      </w:r>
    </w:p>
    <w:p w14:paraId="3EB8DF20" w14:textId="77777777" w:rsidR="00F264C2" w:rsidRPr="00F264C2" w:rsidRDefault="00F264C2" w:rsidP="00DB48BC">
      <w:pPr>
        <w:spacing w:after="0" w:line="240" w:lineRule="auto"/>
        <w:rPr>
          <w:rFonts w:ascii="Arial" w:hAnsi="Arial" w:cs="Arial"/>
          <w:sz w:val="22"/>
          <w:szCs w:val="22"/>
        </w:rPr>
      </w:pPr>
      <w:r w:rsidRPr="00F264C2">
        <w:rPr>
          <w:rFonts w:ascii="Arial" w:hAnsi="Arial" w:cs="Arial"/>
          <w:sz w:val="22"/>
          <w:szCs w:val="22"/>
        </w:rPr>
        <w:t xml:space="preserve">Best student all-rounder, 2002 – 2003 </w:t>
      </w:r>
    </w:p>
    <w:p w14:paraId="3622883F" w14:textId="77777777" w:rsidR="00777E9F" w:rsidRPr="00777E9F" w:rsidRDefault="00777E9F" w:rsidP="00DB48BC">
      <w:pPr>
        <w:spacing w:after="0" w:line="240" w:lineRule="auto"/>
        <w:rPr>
          <w:rFonts w:ascii="Arial" w:hAnsi="Arial" w:cs="Arial"/>
          <w:b/>
          <w:bCs/>
          <w:sz w:val="22"/>
          <w:szCs w:val="22"/>
        </w:rPr>
      </w:pPr>
    </w:p>
    <w:p w14:paraId="5D62928A" w14:textId="70D4FE09" w:rsidR="00F264C2" w:rsidRPr="00777E9F" w:rsidRDefault="00F264C2" w:rsidP="00F264C2">
      <w:pPr>
        <w:rPr>
          <w:rFonts w:ascii="Arial" w:hAnsi="Arial" w:cs="Arial"/>
          <w:b/>
          <w:bCs/>
          <w:sz w:val="22"/>
          <w:szCs w:val="22"/>
        </w:rPr>
      </w:pPr>
      <w:r w:rsidRPr="00777E9F">
        <w:rPr>
          <w:rFonts w:ascii="Arial" w:hAnsi="Arial" w:cs="Arial"/>
          <w:b/>
          <w:bCs/>
          <w:sz w:val="22"/>
          <w:szCs w:val="22"/>
        </w:rPr>
        <w:t xml:space="preserve">ACTIVITIES &amp; MEMBERSHIPS: </w:t>
      </w:r>
    </w:p>
    <w:p w14:paraId="7AFF9C6E" w14:textId="35C5BDA5" w:rsidR="00F264C2" w:rsidRPr="00F264C2" w:rsidRDefault="00F264C2" w:rsidP="00DB48BC">
      <w:pPr>
        <w:spacing w:after="0" w:line="240" w:lineRule="auto"/>
        <w:rPr>
          <w:rFonts w:ascii="Arial" w:hAnsi="Arial" w:cs="Arial"/>
          <w:sz w:val="22"/>
          <w:szCs w:val="22"/>
        </w:rPr>
      </w:pPr>
      <w:r w:rsidRPr="00F264C2">
        <w:rPr>
          <w:rFonts w:ascii="Arial" w:hAnsi="Arial" w:cs="Arial"/>
          <w:sz w:val="22"/>
          <w:szCs w:val="22"/>
        </w:rPr>
        <w:t xml:space="preserve">Science Fair Judge, Public School in FL &amp; MO, 2016 – Present </w:t>
      </w:r>
    </w:p>
    <w:p w14:paraId="3B212385" w14:textId="77777777" w:rsidR="00F264C2" w:rsidRPr="00F264C2" w:rsidRDefault="00F264C2" w:rsidP="00DB48BC">
      <w:pPr>
        <w:spacing w:after="0" w:line="240" w:lineRule="auto"/>
        <w:rPr>
          <w:rFonts w:ascii="Arial" w:hAnsi="Arial" w:cs="Arial"/>
          <w:sz w:val="22"/>
          <w:szCs w:val="22"/>
        </w:rPr>
      </w:pPr>
      <w:r w:rsidRPr="00F264C2">
        <w:rPr>
          <w:rFonts w:ascii="Arial" w:hAnsi="Arial" w:cs="Arial"/>
          <w:sz w:val="22"/>
          <w:szCs w:val="22"/>
        </w:rPr>
        <w:t xml:space="preserve">Member, Environment Texas, 2008 – Present </w:t>
      </w:r>
    </w:p>
    <w:p w14:paraId="015C6D07" w14:textId="77777777" w:rsidR="00F264C2" w:rsidRPr="00F264C2" w:rsidRDefault="00F264C2" w:rsidP="00DB48BC">
      <w:pPr>
        <w:spacing w:after="0" w:line="240" w:lineRule="auto"/>
        <w:rPr>
          <w:rFonts w:ascii="Arial" w:hAnsi="Arial" w:cs="Arial"/>
          <w:sz w:val="22"/>
          <w:szCs w:val="22"/>
        </w:rPr>
      </w:pPr>
      <w:r w:rsidRPr="00F264C2">
        <w:rPr>
          <w:rFonts w:ascii="Arial" w:hAnsi="Arial" w:cs="Arial"/>
          <w:sz w:val="22"/>
          <w:szCs w:val="22"/>
        </w:rPr>
        <w:t>Member, Association of Scientists of Indian Origin in America, 2009 – Present</w:t>
      </w:r>
    </w:p>
    <w:p w14:paraId="51CF5280" w14:textId="77777777" w:rsidR="00F264C2" w:rsidRPr="00F264C2" w:rsidRDefault="00F264C2" w:rsidP="00DB48BC">
      <w:pPr>
        <w:spacing w:after="0" w:line="240" w:lineRule="auto"/>
        <w:rPr>
          <w:rFonts w:ascii="Arial" w:hAnsi="Arial" w:cs="Arial"/>
          <w:sz w:val="22"/>
          <w:szCs w:val="22"/>
        </w:rPr>
      </w:pPr>
      <w:r w:rsidRPr="00F264C2">
        <w:rPr>
          <w:rFonts w:ascii="Arial" w:hAnsi="Arial" w:cs="Arial"/>
          <w:sz w:val="22"/>
          <w:szCs w:val="22"/>
        </w:rPr>
        <w:t xml:space="preserve">Graduate Student Representative, </w:t>
      </w:r>
      <w:proofErr w:type="spellStart"/>
      <w:r w:rsidRPr="00F264C2">
        <w:rPr>
          <w:rFonts w:ascii="Arial" w:hAnsi="Arial" w:cs="Arial"/>
          <w:sz w:val="22"/>
          <w:szCs w:val="22"/>
        </w:rPr>
        <w:t>Bioclub</w:t>
      </w:r>
      <w:proofErr w:type="spellEnd"/>
      <w:r w:rsidRPr="00F264C2">
        <w:rPr>
          <w:rFonts w:ascii="Arial" w:hAnsi="Arial" w:cs="Arial"/>
          <w:sz w:val="22"/>
          <w:szCs w:val="22"/>
        </w:rPr>
        <w:t xml:space="preserve"> (UTSA), 2009 – 2010 </w:t>
      </w:r>
    </w:p>
    <w:p w14:paraId="199CD1BE" w14:textId="77777777" w:rsidR="00F264C2" w:rsidRPr="00F264C2" w:rsidRDefault="00F264C2" w:rsidP="00DB48BC">
      <w:pPr>
        <w:spacing w:after="0" w:line="240" w:lineRule="auto"/>
        <w:rPr>
          <w:rFonts w:ascii="Arial" w:hAnsi="Arial" w:cs="Arial"/>
          <w:sz w:val="22"/>
          <w:szCs w:val="22"/>
        </w:rPr>
      </w:pPr>
      <w:r w:rsidRPr="00F264C2">
        <w:rPr>
          <w:rFonts w:ascii="Arial" w:hAnsi="Arial" w:cs="Arial"/>
          <w:sz w:val="22"/>
          <w:szCs w:val="22"/>
        </w:rPr>
        <w:t xml:space="preserve">Volunteer, National Social Service, India, 2004 – 2007 </w:t>
      </w:r>
    </w:p>
    <w:p w14:paraId="302731C7" w14:textId="77777777" w:rsidR="00F264C2" w:rsidRPr="00F264C2" w:rsidRDefault="00F264C2" w:rsidP="00F264C2">
      <w:pPr>
        <w:rPr>
          <w:rFonts w:ascii="Arial" w:hAnsi="Arial" w:cs="Arial"/>
          <w:sz w:val="22"/>
          <w:szCs w:val="22"/>
        </w:rPr>
      </w:pPr>
    </w:p>
    <w:p w14:paraId="305C0DD4" w14:textId="77777777" w:rsidR="00120BD0" w:rsidRPr="00F264C2" w:rsidRDefault="00120BD0">
      <w:pPr>
        <w:rPr>
          <w:rFonts w:ascii="Arial" w:hAnsi="Arial" w:cs="Arial"/>
          <w:sz w:val="22"/>
          <w:szCs w:val="22"/>
        </w:rPr>
      </w:pPr>
    </w:p>
    <w:sectPr w:rsidR="00120BD0" w:rsidRPr="00F264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4C2"/>
    <w:rsid w:val="00047E47"/>
    <w:rsid w:val="000C7F7D"/>
    <w:rsid w:val="00120BD0"/>
    <w:rsid w:val="0014630D"/>
    <w:rsid w:val="001B22A9"/>
    <w:rsid w:val="002D3B7F"/>
    <w:rsid w:val="003D649F"/>
    <w:rsid w:val="004609EE"/>
    <w:rsid w:val="006940EA"/>
    <w:rsid w:val="007658A9"/>
    <w:rsid w:val="00777E9F"/>
    <w:rsid w:val="00895B90"/>
    <w:rsid w:val="008B58B5"/>
    <w:rsid w:val="00B130DF"/>
    <w:rsid w:val="00B82816"/>
    <w:rsid w:val="00DB48BC"/>
    <w:rsid w:val="00E54904"/>
    <w:rsid w:val="00E64026"/>
    <w:rsid w:val="00F264C2"/>
    <w:rsid w:val="00F80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527760"/>
  <w15:chartTrackingRefBased/>
  <w15:docId w15:val="{B690B8C4-1D4F-8045-AF7B-6336D07EC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64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64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64C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64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64C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64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64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64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64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64C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64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64C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64C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64C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64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64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64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64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64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64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64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64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64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64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64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64C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64C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64C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64C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1426</Words>
  <Characters>8134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Sanapala, Shilpa</dc:creator>
  <cp:keywords/>
  <dc:description/>
  <cp:lastModifiedBy>Sanapala, Shilpa</cp:lastModifiedBy>
  <cp:revision>9</cp:revision>
  <dcterms:created xsi:type="dcterms:W3CDTF">2025-07-08T19:27:00Z</dcterms:created>
  <dcterms:modified xsi:type="dcterms:W3CDTF">2025-07-08T19:59:00Z</dcterms:modified>
</cp:coreProperties>
</file>